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215" w:type="dxa"/>
        <w:tblLayout w:type="fixed"/>
        <w:tblLook w:val="04A0" w:firstRow="1" w:lastRow="0" w:firstColumn="1" w:lastColumn="0" w:noHBand="0" w:noVBand="1"/>
      </w:tblPr>
      <w:tblGrid>
        <w:gridCol w:w="1728"/>
        <w:gridCol w:w="1641"/>
        <w:gridCol w:w="1705"/>
        <w:gridCol w:w="231"/>
        <w:gridCol w:w="1710"/>
        <w:gridCol w:w="68"/>
        <w:gridCol w:w="3952"/>
        <w:gridCol w:w="1992"/>
        <w:gridCol w:w="1188"/>
      </w:tblGrid>
      <w:tr w:rsidR="00CF3E02" w:rsidTr="00CD796D">
        <w:tc>
          <w:tcPr>
            <w:tcW w:w="1728" w:type="dxa"/>
          </w:tcPr>
          <w:p w:rsidR="00220C31" w:rsidRDefault="00CF3E02" w:rsidP="00831873">
            <w:pPr>
              <w:rPr>
                <w:b/>
                <w:sz w:val="28"/>
                <w:szCs w:val="28"/>
              </w:rPr>
            </w:pPr>
            <w:r w:rsidRPr="00AD71A9">
              <w:rPr>
                <w:b/>
                <w:sz w:val="28"/>
                <w:szCs w:val="28"/>
              </w:rPr>
              <w:t>AGENCY</w:t>
            </w:r>
            <w:r w:rsidR="00F068EC">
              <w:rPr>
                <w:b/>
                <w:sz w:val="28"/>
                <w:szCs w:val="28"/>
              </w:rPr>
              <w:t xml:space="preserve"> </w:t>
            </w:r>
          </w:p>
          <w:p w:rsidR="00CF3E02" w:rsidRPr="00AD71A9" w:rsidRDefault="00F068EC" w:rsidP="00831873">
            <w:pPr>
              <w:rPr>
                <w:b/>
                <w:sz w:val="28"/>
                <w:szCs w:val="28"/>
              </w:rPr>
            </w:pPr>
            <w:r>
              <w:rPr>
                <w:b/>
                <w:sz w:val="28"/>
                <w:szCs w:val="28"/>
              </w:rPr>
              <w:t>(for Torrington area)</w:t>
            </w:r>
          </w:p>
        </w:tc>
        <w:tc>
          <w:tcPr>
            <w:tcW w:w="1641" w:type="dxa"/>
          </w:tcPr>
          <w:p w:rsidR="00CF3E02" w:rsidRPr="00AD71A9" w:rsidRDefault="00CF3E02" w:rsidP="00831873">
            <w:pPr>
              <w:rPr>
                <w:b/>
                <w:sz w:val="28"/>
                <w:szCs w:val="28"/>
              </w:rPr>
            </w:pPr>
            <w:r w:rsidRPr="00AD71A9">
              <w:rPr>
                <w:b/>
                <w:sz w:val="28"/>
                <w:szCs w:val="28"/>
              </w:rPr>
              <w:t>ADDRESS</w:t>
            </w:r>
          </w:p>
        </w:tc>
        <w:tc>
          <w:tcPr>
            <w:tcW w:w="1936" w:type="dxa"/>
            <w:gridSpan w:val="2"/>
          </w:tcPr>
          <w:p w:rsidR="00CF3E02" w:rsidRDefault="00CF3E02" w:rsidP="00831873">
            <w:pPr>
              <w:rPr>
                <w:b/>
                <w:sz w:val="28"/>
                <w:szCs w:val="28"/>
              </w:rPr>
            </w:pPr>
            <w:r>
              <w:rPr>
                <w:b/>
                <w:sz w:val="28"/>
                <w:szCs w:val="28"/>
              </w:rPr>
              <w:t>AGENCY</w:t>
            </w:r>
          </w:p>
          <w:p w:rsidR="00CF3E02" w:rsidRPr="00AD71A9" w:rsidRDefault="00CF3E02" w:rsidP="00831873">
            <w:pPr>
              <w:rPr>
                <w:b/>
                <w:sz w:val="28"/>
                <w:szCs w:val="28"/>
              </w:rPr>
            </w:pPr>
            <w:r>
              <w:rPr>
                <w:b/>
                <w:sz w:val="28"/>
                <w:szCs w:val="28"/>
              </w:rPr>
              <w:t>PHONE</w:t>
            </w:r>
          </w:p>
        </w:tc>
        <w:tc>
          <w:tcPr>
            <w:tcW w:w="1710" w:type="dxa"/>
          </w:tcPr>
          <w:p w:rsidR="00CF3E02" w:rsidRPr="00AD71A9" w:rsidRDefault="00CF3E02" w:rsidP="00831873">
            <w:pPr>
              <w:rPr>
                <w:b/>
                <w:sz w:val="28"/>
                <w:szCs w:val="28"/>
              </w:rPr>
            </w:pPr>
            <w:r w:rsidRPr="00AD71A9">
              <w:rPr>
                <w:b/>
                <w:sz w:val="28"/>
                <w:szCs w:val="28"/>
              </w:rPr>
              <w:t>MAT OPTIONS</w:t>
            </w:r>
          </w:p>
        </w:tc>
        <w:tc>
          <w:tcPr>
            <w:tcW w:w="4020" w:type="dxa"/>
            <w:gridSpan w:val="2"/>
          </w:tcPr>
          <w:p w:rsidR="00CF3E02" w:rsidRPr="00AD71A9" w:rsidRDefault="00CF3E02" w:rsidP="00831873">
            <w:pPr>
              <w:rPr>
                <w:b/>
                <w:sz w:val="28"/>
                <w:szCs w:val="28"/>
              </w:rPr>
            </w:pPr>
            <w:r w:rsidRPr="00AD71A9">
              <w:rPr>
                <w:b/>
                <w:sz w:val="28"/>
                <w:szCs w:val="28"/>
              </w:rPr>
              <w:t>CONTACT</w:t>
            </w:r>
          </w:p>
        </w:tc>
        <w:tc>
          <w:tcPr>
            <w:tcW w:w="3180" w:type="dxa"/>
            <w:gridSpan w:val="2"/>
          </w:tcPr>
          <w:p w:rsidR="00CF3E02" w:rsidRPr="00AD71A9" w:rsidRDefault="00CF3E02" w:rsidP="00A7798D">
            <w:pPr>
              <w:rPr>
                <w:b/>
                <w:sz w:val="28"/>
                <w:szCs w:val="28"/>
              </w:rPr>
            </w:pPr>
            <w:r w:rsidRPr="00CF3E02">
              <w:rPr>
                <w:b/>
                <w:sz w:val="28"/>
                <w:szCs w:val="28"/>
              </w:rPr>
              <w:t>PRACTICE PROTCOL/TIME FRAME TO SEE PRESCRIBER (as of</w:t>
            </w:r>
            <w:r w:rsidR="00987057">
              <w:rPr>
                <w:b/>
                <w:sz w:val="28"/>
                <w:szCs w:val="28"/>
              </w:rPr>
              <w:t xml:space="preserve"> 11/9/2020</w:t>
            </w:r>
            <w:r w:rsidR="00CC448D">
              <w:rPr>
                <w:b/>
                <w:sz w:val="28"/>
                <w:szCs w:val="28"/>
              </w:rPr>
              <w:t>)</w:t>
            </w:r>
          </w:p>
        </w:tc>
      </w:tr>
      <w:tr w:rsidR="00CF3E02" w:rsidTr="00CD796D">
        <w:tc>
          <w:tcPr>
            <w:tcW w:w="1728" w:type="dxa"/>
          </w:tcPr>
          <w:p w:rsidR="00CF3E02" w:rsidRDefault="00CF3E02" w:rsidP="002658B8">
            <w:r>
              <w:t>Apex</w:t>
            </w:r>
          </w:p>
          <w:p w:rsidR="00CF3E02" w:rsidRDefault="00CF3E02" w:rsidP="002658B8">
            <w:r>
              <w:t xml:space="preserve"> </w:t>
            </w:r>
          </w:p>
          <w:p w:rsidR="00CF3E02" w:rsidRPr="00B720D6" w:rsidRDefault="00CF3E02" w:rsidP="002658B8"/>
        </w:tc>
        <w:tc>
          <w:tcPr>
            <w:tcW w:w="1641" w:type="dxa"/>
          </w:tcPr>
          <w:p w:rsidR="00DC23E4" w:rsidRDefault="00CF3E02" w:rsidP="00831873">
            <w:r w:rsidRPr="00FC438C">
              <w:t>601 S</w:t>
            </w:r>
            <w:r w:rsidR="00DC23E4">
              <w:t>outh Main Street</w:t>
            </w:r>
          </w:p>
          <w:p w:rsidR="00D54C59" w:rsidRDefault="00DC23E4" w:rsidP="00831873">
            <w:r>
              <w:t>T</w:t>
            </w:r>
            <w:r w:rsidR="004F0DEC">
              <w:t>orrington</w:t>
            </w:r>
          </w:p>
          <w:p w:rsidR="00D54C59" w:rsidRDefault="00D54C59" w:rsidP="00831873"/>
          <w:p w:rsidR="00D54C59" w:rsidRPr="00B720D6" w:rsidRDefault="00D54C59" w:rsidP="00831873"/>
        </w:tc>
        <w:tc>
          <w:tcPr>
            <w:tcW w:w="1936" w:type="dxa"/>
            <w:gridSpan w:val="2"/>
          </w:tcPr>
          <w:p w:rsidR="00D54C59" w:rsidRDefault="00CF3E02" w:rsidP="00831873">
            <w:r>
              <w:t>(203)</w:t>
            </w:r>
            <w:r w:rsidR="0010026F">
              <w:t xml:space="preserve"> </w:t>
            </w:r>
            <w:r>
              <w:t>778-</w:t>
            </w:r>
            <w:r w:rsidRPr="00FC438C">
              <w:t>2437</w:t>
            </w:r>
          </w:p>
          <w:p w:rsidR="00D54C59" w:rsidRDefault="00D54C59" w:rsidP="00831873"/>
          <w:p w:rsidR="00D54C59" w:rsidRDefault="00D54C59" w:rsidP="00831873"/>
          <w:p w:rsidR="00D54C59" w:rsidRPr="00B720D6" w:rsidRDefault="00D54C59" w:rsidP="00831873"/>
        </w:tc>
        <w:tc>
          <w:tcPr>
            <w:tcW w:w="1710" w:type="dxa"/>
          </w:tcPr>
          <w:p w:rsidR="00CF3E02" w:rsidRPr="00B720D6" w:rsidRDefault="00083E5E" w:rsidP="00831873">
            <w:r>
              <w:t>Suboxone; Vivitrol; Naltrexone</w:t>
            </w:r>
          </w:p>
        </w:tc>
        <w:tc>
          <w:tcPr>
            <w:tcW w:w="4020" w:type="dxa"/>
            <w:gridSpan w:val="2"/>
          </w:tcPr>
          <w:p w:rsidR="004D472C" w:rsidRDefault="004D472C" w:rsidP="00494DFE">
            <w:r>
              <w:t>Jeremy Reid</w:t>
            </w:r>
          </w:p>
          <w:p w:rsidR="004D472C" w:rsidRDefault="008C4469" w:rsidP="004D472C">
            <w:pPr>
              <w:rPr>
                <w:color w:val="1F497D"/>
              </w:rPr>
            </w:pPr>
            <w:hyperlink r:id="rId5" w:history="1">
              <w:r w:rsidR="004D472C">
                <w:rPr>
                  <w:rStyle w:val="Hyperlink"/>
                </w:rPr>
                <w:t>jreid@apexcc.org</w:t>
              </w:r>
            </w:hyperlink>
          </w:p>
          <w:p w:rsidR="004D472C" w:rsidRDefault="004D472C" w:rsidP="00494DFE">
            <w:r>
              <w:rPr>
                <w:color w:val="1F497D"/>
              </w:rPr>
              <w:t xml:space="preserve">(203) 778-2437 </w:t>
            </w:r>
          </w:p>
          <w:p w:rsidR="00CF3E02" w:rsidRPr="00775A0B" w:rsidRDefault="00CF3E02" w:rsidP="00791775"/>
        </w:tc>
        <w:tc>
          <w:tcPr>
            <w:tcW w:w="3180" w:type="dxa"/>
            <w:gridSpan w:val="2"/>
          </w:tcPr>
          <w:p w:rsidR="00D54C59" w:rsidRPr="00775A0B" w:rsidRDefault="005A6123" w:rsidP="00791775">
            <w:pPr>
              <w:jc w:val="both"/>
            </w:pPr>
            <w:r w:rsidRPr="005A6123">
              <w:t xml:space="preserve">The Torrington office is in the process of staffing prescriber(s) </w:t>
            </w:r>
            <w:r>
              <w:t>and</w:t>
            </w:r>
            <w:r w:rsidRPr="005A6123">
              <w:t xml:space="preserve"> is not yet operational </w:t>
            </w:r>
            <w:r>
              <w:t>for</w:t>
            </w:r>
            <w:r w:rsidRPr="005A6123">
              <w:t xml:space="preserve"> MAT</w:t>
            </w:r>
            <w:r w:rsidR="00791775">
              <w:t xml:space="preserve">, but it </w:t>
            </w:r>
            <w:proofErr w:type="gramStart"/>
            <w:r w:rsidR="00791775">
              <w:t>is hoped</w:t>
            </w:r>
            <w:proofErr w:type="gramEnd"/>
            <w:r w:rsidR="00791775">
              <w:t xml:space="preserve"> to start by close of 2020.</w:t>
            </w:r>
          </w:p>
        </w:tc>
      </w:tr>
      <w:tr w:rsidR="00CF3E02" w:rsidTr="00CD796D">
        <w:tc>
          <w:tcPr>
            <w:tcW w:w="1728" w:type="dxa"/>
          </w:tcPr>
          <w:p w:rsidR="00CF3E02" w:rsidRPr="00B720D6" w:rsidRDefault="00CF3E02" w:rsidP="00831873">
            <w:r>
              <w:t>Charlotte Hungerford Hospital</w:t>
            </w:r>
          </w:p>
        </w:tc>
        <w:tc>
          <w:tcPr>
            <w:tcW w:w="1641" w:type="dxa"/>
          </w:tcPr>
          <w:p w:rsidR="00CF3E02" w:rsidRDefault="00CF3E02" w:rsidP="00FC438C">
            <w:r>
              <w:t>540 Litchfield Street</w:t>
            </w:r>
          </w:p>
          <w:p w:rsidR="00CF3E02" w:rsidRPr="00B720D6" w:rsidRDefault="004F0DEC" w:rsidP="00FC438C">
            <w:r>
              <w:t xml:space="preserve">Torrington </w:t>
            </w:r>
          </w:p>
        </w:tc>
        <w:tc>
          <w:tcPr>
            <w:tcW w:w="1936" w:type="dxa"/>
            <w:gridSpan w:val="2"/>
          </w:tcPr>
          <w:p w:rsidR="00CF3E02" w:rsidRPr="00B720D6" w:rsidRDefault="00CF3E02" w:rsidP="00831873">
            <w:r w:rsidRPr="00FC438C">
              <w:t>(860) 496-6350</w:t>
            </w:r>
          </w:p>
        </w:tc>
        <w:tc>
          <w:tcPr>
            <w:tcW w:w="1710" w:type="dxa"/>
          </w:tcPr>
          <w:p w:rsidR="00CF3E02" w:rsidRPr="00B720D6" w:rsidRDefault="00CF3E02" w:rsidP="00831873">
            <w:r>
              <w:t>Suboxone; Vivitrol</w:t>
            </w:r>
          </w:p>
        </w:tc>
        <w:tc>
          <w:tcPr>
            <w:tcW w:w="4020" w:type="dxa"/>
            <w:gridSpan w:val="2"/>
          </w:tcPr>
          <w:p w:rsidR="004730DA" w:rsidRDefault="004730DA" w:rsidP="00407DA5">
            <w:pPr>
              <w:rPr>
                <w:rStyle w:val="Hyperlink"/>
                <w:color w:val="auto"/>
              </w:rPr>
            </w:pPr>
            <w:r>
              <w:rPr>
                <w:rStyle w:val="Hyperlink"/>
                <w:color w:val="auto"/>
              </w:rPr>
              <w:t>Alyssa Meehan, LCSW, Triage Clinician</w:t>
            </w:r>
          </w:p>
          <w:p w:rsidR="004730DA" w:rsidRDefault="008C4469" w:rsidP="00407DA5">
            <w:pPr>
              <w:rPr>
                <w:rStyle w:val="Hyperlink"/>
                <w:color w:val="auto"/>
              </w:rPr>
            </w:pPr>
            <w:hyperlink r:id="rId6" w:history="1">
              <w:r w:rsidR="004730DA" w:rsidRPr="00921ACE">
                <w:rPr>
                  <w:rStyle w:val="Hyperlink"/>
                </w:rPr>
                <w:t>Alyssa.Meehan@hhchealth.org</w:t>
              </w:r>
            </w:hyperlink>
          </w:p>
          <w:p w:rsidR="004730DA" w:rsidRPr="004730DA" w:rsidRDefault="004730DA" w:rsidP="00407DA5">
            <w:pPr>
              <w:rPr>
                <w:rStyle w:val="Hyperlink"/>
                <w:color w:val="auto"/>
              </w:rPr>
            </w:pPr>
            <w:r>
              <w:rPr>
                <w:rStyle w:val="Hyperlink"/>
                <w:color w:val="auto"/>
              </w:rPr>
              <w:t>(860) 496-6363</w:t>
            </w:r>
          </w:p>
          <w:p w:rsidR="004730DA" w:rsidRDefault="004730DA" w:rsidP="00407DA5">
            <w:pPr>
              <w:rPr>
                <w:rStyle w:val="Hyperlink"/>
              </w:rPr>
            </w:pPr>
          </w:p>
          <w:p w:rsidR="004730DA" w:rsidRDefault="004730DA" w:rsidP="004730DA">
            <w:r>
              <w:t xml:space="preserve">Ralph Baker, Community Case Manager </w:t>
            </w:r>
          </w:p>
          <w:p w:rsidR="004730DA" w:rsidRDefault="008C4469" w:rsidP="004730DA">
            <w:pPr>
              <w:rPr>
                <w:rStyle w:val="Hyperlink"/>
              </w:rPr>
            </w:pPr>
            <w:hyperlink r:id="rId7" w:history="1">
              <w:r w:rsidR="004730DA" w:rsidRPr="0076278E">
                <w:rPr>
                  <w:rStyle w:val="Hyperlink"/>
                </w:rPr>
                <w:t>Ralph.Baker@hhchealth.org</w:t>
              </w:r>
            </w:hyperlink>
          </w:p>
          <w:p w:rsidR="00CF3E02" w:rsidRPr="00B720D6" w:rsidRDefault="003950D7" w:rsidP="003950D7">
            <w:r w:rsidRPr="003950D7">
              <w:rPr>
                <w:rStyle w:val="Hyperlink"/>
                <w:color w:val="auto"/>
              </w:rPr>
              <w:t>(860) 496-6381</w:t>
            </w:r>
          </w:p>
        </w:tc>
        <w:tc>
          <w:tcPr>
            <w:tcW w:w="3180" w:type="dxa"/>
            <w:gridSpan w:val="2"/>
          </w:tcPr>
          <w:p w:rsidR="00CF3E02" w:rsidRDefault="00303614" w:rsidP="00303614">
            <w:r>
              <w:t xml:space="preserve">ED/Inpatient Psych MAT </w:t>
            </w:r>
            <w:r w:rsidR="00CF3E02" w:rsidRPr="00CF3E02">
              <w:t>Induction</w:t>
            </w:r>
          </w:p>
          <w:p w:rsidR="004730DA" w:rsidRDefault="004730DA" w:rsidP="00303614"/>
          <w:p w:rsidR="004730DA" w:rsidRPr="00A65601" w:rsidRDefault="004730DA" w:rsidP="00303614">
            <w:proofErr w:type="spellStart"/>
            <w:r>
              <w:t>Suboxone</w:t>
            </w:r>
            <w:proofErr w:type="spellEnd"/>
            <w:r>
              <w:t xml:space="preserve"> and </w:t>
            </w:r>
            <w:proofErr w:type="spellStart"/>
            <w:r>
              <w:t>Vivitrol</w:t>
            </w:r>
            <w:proofErr w:type="spellEnd"/>
            <w:r>
              <w:t xml:space="preserve"> </w:t>
            </w:r>
            <w:proofErr w:type="spellStart"/>
            <w:r>
              <w:t>hare</w:t>
            </w:r>
            <w:proofErr w:type="spellEnd"/>
            <w:r>
              <w:t xml:space="preserve"> provided at all outpatient locations – Dual Diagnosis IOP, Mental Health IOP, outpatient</w:t>
            </w:r>
          </w:p>
        </w:tc>
      </w:tr>
      <w:tr w:rsidR="00177D92" w:rsidTr="00CD796D">
        <w:tc>
          <w:tcPr>
            <w:tcW w:w="1728" w:type="dxa"/>
          </w:tcPr>
          <w:p w:rsidR="00177D92" w:rsidRDefault="00177D92" w:rsidP="00831873">
            <w:r>
              <w:t>Column Health</w:t>
            </w:r>
          </w:p>
        </w:tc>
        <w:tc>
          <w:tcPr>
            <w:tcW w:w="1641" w:type="dxa"/>
          </w:tcPr>
          <w:p w:rsidR="00177D92" w:rsidRDefault="00177D92" w:rsidP="00FC438C">
            <w:r>
              <w:t xml:space="preserve">100 </w:t>
            </w:r>
            <w:proofErr w:type="spellStart"/>
            <w:r>
              <w:t>Migeon</w:t>
            </w:r>
            <w:proofErr w:type="spellEnd"/>
            <w:r>
              <w:t xml:space="preserve"> Avenue</w:t>
            </w:r>
          </w:p>
          <w:p w:rsidR="00177D92" w:rsidRDefault="00177D92" w:rsidP="00FC438C">
            <w:r>
              <w:t>Torrington</w:t>
            </w:r>
          </w:p>
          <w:p w:rsidR="00177D92" w:rsidRDefault="00177D92" w:rsidP="00FC438C"/>
          <w:p w:rsidR="00177D92" w:rsidRDefault="00177D92" w:rsidP="00FC438C">
            <w:r>
              <w:t xml:space="preserve">1 Carriage Place </w:t>
            </w:r>
          </w:p>
          <w:p w:rsidR="00177D92" w:rsidRDefault="00177D92" w:rsidP="00FC438C">
            <w:r>
              <w:t>Waterbury</w:t>
            </w:r>
          </w:p>
        </w:tc>
        <w:tc>
          <w:tcPr>
            <w:tcW w:w="1936" w:type="dxa"/>
            <w:gridSpan w:val="2"/>
          </w:tcPr>
          <w:p w:rsidR="00177D92" w:rsidRDefault="00177D92" w:rsidP="00831873">
            <w:r>
              <w:t>(339) 368-7696</w:t>
            </w:r>
          </w:p>
          <w:p w:rsidR="00A707D3" w:rsidRDefault="00A707D3" w:rsidP="00831873"/>
          <w:p w:rsidR="00A707D3" w:rsidRDefault="00A707D3" w:rsidP="00831873"/>
          <w:p w:rsidR="00A707D3" w:rsidRDefault="00A707D3" w:rsidP="00831873"/>
          <w:p w:rsidR="00A707D3" w:rsidRPr="00FC438C" w:rsidRDefault="00A707D3" w:rsidP="00A707D3"/>
        </w:tc>
        <w:tc>
          <w:tcPr>
            <w:tcW w:w="1710" w:type="dxa"/>
          </w:tcPr>
          <w:p w:rsidR="00177D92" w:rsidRDefault="005A417A" w:rsidP="00831873">
            <w:r>
              <w:t>Suboxone</w:t>
            </w:r>
          </w:p>
        </w:tc>
        <w:tc>
          <w:tcPr>
            <w:tcW w:w="4020" w:type="dxa"/>
            <w:gridSpan w:val="2"/>
          </w:tcPr>
          <w:p w:rsidR="006917F7" w:rsidRDefault="006917F7" w:rsidP="006917F7">
            <w:pPr>
              <w:rPr>
                <w:rFonts w:cstheme="minorHAnsi"/>
                <w:color w:val="000000"/>
              </w:rPr>
            </w:pPr>
            <w:r w:rsidRPr="006917F7">
              <w:rPr>
                <w:rFonts w:cstheme="minorHAnsi"/>
                <w:color w:val="000000"/>
              </w:rPr>
              <w:t>John Simoncelli, LCSW, LADC, MPA</w:t>
            </w:r>
          </w:p>
          <w:p w:rsidR="006B5018" w:rsidRDefault="008C4469" w:rsidP="006917F7">
            <w:pPr>
              <w:rPr>
                <w:rFonts w:cstheme="minorHAnsi"/>
                <w:color w:val="000000"/>
              </w:rPr>
            </w:pPr>
            <w:hyperlink r:id="rId8" w:history="1">
              <w:r w:rsidR="006B5018">
                <w:rPr>
                  <w:rStyle w:val="Hyperlink"/>
                </w:rPr>
                <w:t>jsimoncelli@columnhealth.com</w:t>
              </w:r>
            </w:hyperlink>
          </w:p>
          <w:p w:rsidR="00A707D3" w:rsidRDefault="006917F7" w:rsidP="006917F7">
            <w:pPr>
              <w:rPr>
                <w:rFonts w:cstheme="minorHAnsi"/>
                <w:color w:val="000000"/>
              </w:rPr>
            </w:pPr>
            <w:r w:rsidRPr="006917F7">
              <w:rPr>
                <w:rFonts w:cstheme="minorHAnsi"/>
                <w:color w:val="000000"/>
              </w:rPr>
              <w:t>Regional Director of Column Health</w:t>
            </w:r>
          </w:p>
          <w:p w:rsidR="003950D7" w:rsidRDefault="00A707D3" w:rsidP="00A707D3">
            <w:r>
              <w:rPr>
                <w:rFonts w:cstheme="minorHAnsi"/>
                <w:color w:val="000000"/>
              </w:rPr>
              <w:t>Direct line:  (860) 605-7416</w:t>
            </w:r>
            <w:r w:rsidR="006917F7" w:rsidRPr="006917F7">
              <w:rPr>
                <w:rFonts w:cstheme="minorHAnsi"/>
                <w:color w:val="000000"/>
              </w:rPr>
              <w:br/>
            </w:r>
          </w:p>
        </w:tc>
        <w:tc>
          <w:tcPr>
            <w:tcW w:w="3180" w:type="dxa"/>
            <w:gridSpan w:val="2"/>
          </w:tcPr>
          <w:p w:rsidR="00177D92" w:rsidRDefault="0033347B" w:rsidP="0033347B">
            <w:pPr>
              <w:jc w:val="both"/>
            </w:pPr>
            <w:r>
              <w:t xml:space="preserve">Clients need to present in the office for a urinalysis screen prior to their appointment. They can do this right before the appointment and then do an assessment with a prescriber via telehealth. They also need to have an assessment done with a therapist, but this can occur after they </w:t>
            </w:r>
            <w:proofErr w:type="gramStart"/>
            <w:r>
              <w:t>are inducted</w:t>
            </w:r>
            <w:proofErr w:type="gramEnd"/>
            <w:r>
              <w:t xml:space="preserve"> onto MAT (the next day or following week). Follow up appointments require the client to come into the office to submit a urine screen once a week for at least a month while the client gets stabilized on MAT. We also encourage the clients to be involved in treatment, which is individual or group therapy. We do not require IOP and receiving MAT is not contingent on therapy. </w:t>
            </w:r>
          </w:p>
        </w:tc>
      </w:tr>
      <w:tr w:rsidR="00CF3E02" w:rsidTr="00CD796D">
        <w:tc>
          <w:tcPr>
            <w:tcW w:w="1728" w:type="dxa"/>
          </w:tcPr>
          <w:p w:rsidR="00CF3E02" w:rsidRDefault="00CF3E02" w:rsidP="00831873">
            <w:r w:rsidRPr="002658B8">
              <w:lastRenderedPageBreak/>
              <w:t xml:space="preserve">Community Health and Wellness of </w:t>
            </w:r>
            <w:r w:rsidR="00C737A2">
              <w:t xml:space="preserve">Greater </w:t>
            </w:r>
            <w:r w:rsidRPr="002658B8">
              <w:t>Torrington</w:t>
            </w:r>
          </w:p>
        </w:tc>
        <w:tc>
          <w:tcPr>
            <w:tcW w:w="1641" w:type="dxa"/>
          </w:tcPr>
          <w:p w:rsidR="00CF3E02" w:rsidRPr="00B720D6" w:rsidRDefault="00CF3E02" w:rsidP="00831873">
            <w:r w:rsidRPr="00FC438C">
              <w:t xml:space="preserve">469 </w:t>
            </w:r>
            <w:proofErr w:type="spellStart"/>
            <w:r w:rsidRPr="00FC438C">
              <w:t>Mi</w:t>
            </w:r>
            <w:r w:rsidR="004F0DEC">
              <w:t>geon</w:t>
            </w:r>
            <w:proofErr w:type="spellEnd"/>
            <w:r w:rsidR="004F0DEC">
              <w:t xml:space="preserve"> Avenue Torrington </w:t>
            </w:r>
          </w:p>
        </w:tc>
        <w:tc>
          <w:tcPr>
            <w:tcW w:w="1936" w:type="dxa"/>
            <w:gridSpan w:val="2"/>
          </w:tcPr>
          <w:p w:rsidR="00CF3E02" w:rsidRDefault="00CF3E02" w:rsidP="00831873">
            <w:r w:rsidRPr="00FC438C">
              <w:t>(860) 489-0931</w:t>
            </w:r>
          </w:p>
          <w:p w:rsidR="00511798" w:rsidRPr="00B720D6" w:rsidRDefault="00511798" w:rsidP="00831873">
            <w:r>
              <w:t>Prompt “3” for Behavioral Health</w:t>
            </w:r>
          </w:p>
        </w:tc>
        <w:tc>
          <w:tcPr>
            <w:tcW w:w="1710" w:type="dxa"/>
          </w:tcPr>
          <w:p w:rsidR="00CF3E02" w:rsidRDefault="00CF3E02" w:rsidP="00831873">
            <w:proofErr w:type="spellStart"/>
            <w:r>
              <w:t>Suboxone</w:t>
            </w:r>
            <w:proofErr w:type="spellEnd"/>
            <w:r w:rsidR="00C737A2">
              <w:t xml:space="preserve">; </w:t>
            </w:r>
            <w:proofErr w:type="spellStart"/>
            <w:r w:rsidR="00C737A2">
              <w:t>Sublocade</w:t>
            </w:r>
            <w:proofErr w:type="spellEnd"/>
            <w:r w:rsidR="00C737A2">
              <w:t>;</w:t>
            </w:r>
          </w:p>
          <w:p w:rsidR="00C737A2" w:rsidRPr="00B720D6" w:rsidRDefault="00C737A2" w:rsidP="00C737A2">
            <w:r>
              <w:t>Vivitrol (for alcohol use disorder)</w:t>
            </w:r>
          </w:p>
        </w:tc>
        <w:tc>
          <w:tcPr>
            <w:tcW w:w="4020" w:type="dxa"/>
            <w:gridSpan w:val="2"/>
          </w:tcPr>
          <w:p w:rsidR="00C737A2" w:rsidRDefault="00C737A2" w:rsidP="00C737A2">
            <w:r>
              <w:t>Jason Kersten, LCSW</w:t>
            </w:r>
          </w:p>
          <w:p w:rsidR="00C737A2" w:rsidRDefault="008C4469" w:rsidP="00C737A2">
            <w:hyperlink r:id="rId9" w:history="1">
              <w:r w:rsidR="00C737A2" w:rsidRPr="0076278E">
                <w:rPr>
                  <w:rStyle w:val="Hyperlink"/>
                </w:rPr>
                <w:t>jkersten@chwctorr.org</w:t>
              </w:r>
            </w:hyperlink>
          </w:p>
          <w:p w:rsidR="00C737A2" w:rsidRDefault="00C737A2" w:rsidP="00C737A2">
            <w:r>
              <w:t>Behavioral Health Program Director</w:t>
            </w:r>
          </w:p>
          <w:p w:rsidR="00C737A2" w:rsidRDefault="00C737A2" w:rsidP="00C737A2">
            <w:r>
              <w:t>Phone: (860) 489-0931</w:t>
            </w:r>
          </w:p>
          <w:p w:rsidR="00CF3E02" w:rsidRPr="00B720D6" w:rsidRDefault="00C737A2" w:rsidP="00C737A2">
            <w:r>
              <w:t xml:space="preserve">Internal </w:t>
            </w:r>
            <w:proofErr w:type="spellStart"/>
            <w:r>
              <w:t>Extention</w:t>
            </w:r>
            <w:proofErr w:type="spellEnd"/>
            <w:r>
              <w:t>: 1300</w:t>
            </w:r>
          </w:p>
        </w:tc>
        <w:tc>
          <w:tcPr>
            <w:tcW w:w="3180" w:type="dxa"/>
            <w:gridSpan w:val="2"/>
          </w:tcPr>
          <w:p w:rsidR="00CF3E02" w:rsidRDefault="00344AEE" w:rsidP="00344AEE">
            <w:pPr>
              <w:jc w:val="both"/>
            </w:pPr>
            <w:r>
              <w:t xml:space="preserve">Once someone calls with a referral, 24 hours </w:t>
            </w:r>
            <w:proofErr w:type="gramStart"/>
            <w:r>
              <w:t>is used</w:t>
            </w:r>
            <w:proofErr w:type="gramEnd"/>
            <w:r>
              <w:t xml:space="preserve"> to reach out to the client, and then the client has an intake within 48 hours. </w:t>
            </w:r>
          </w:p>
          <w:p w:rsidR="005D3EF4" w:rsidRDefault="005D3EF4" w:rsidP="002465D7">
            <w:pPr>
              <w:jc w:val="both"/>
            </w:pPr>
            <w:r>
              <w:t>We are trying to move to a model of seeing a doctor the same day as an appointment</w:t>
            </w:r>
            <w:r w:rsidR="002465D7">
              <w:t>.</w:t>
            </w:r>
            <w:r>
              <w:t xml:space="preserve">  </w:t>
            </w:r>
            <w:r w:rsidR="002465D7">
              <w:t>By sometime in November 2020 that should be the model.</w:t>
            </w:r>
            <w:r>
              <w:t xml:space="preserve">  Until then, </w:t>
            </w:r>
            <w:r w:rsidR="002465D7">
              <w:t xml:space="preserve">it is </w:t>
            </w:r>
            <w:r>
              <w:t xml:space="preserve">about a day or two out from intake to seeing a prescriber. </w:t>
            </w:r>
          </w:p>
        </w:tc>
      </w:tr>
      <w:tr w:rsidR="00CF3E02" w:rsidRPr="00B720D6" w:rsidTr="00CD796D">
        <w:tc>
          <w:tcPr>
            <w:tcW w:w="1728" w:type="dxa"/>
          </w:tcPr>
          <w:p w:rsidR="00CF3E02" w:rsidRPr="00B720D6" w:rsidRDefault="00CF3E02" w:rsidP="00831873">
            <w:r w:rsidRPr="00B720D6">
              <w:t>Connecticut Junior Republic</w:t>
            </w:r>
          </w:p>
        </w:tc>
        <w:tc>
          <w:tcPr>
            <w:tcW w:w="1641" w:type="dxa"/>
          </w:tcPr>
          <w:p w:rsidR="00CF3E02" w:rsidRPr="00B720D6" w:rsidRDefault="00C90B3E" w:rsidP="00C90B3E">
            <w:pPr>
              <w:pStyle w:val="NormalWeb"/>
              <w:spacing w:before="0" w:beforeAutospacing="0" w:after="0" w:afterAutospacing="0"/>
            </w:pPr>
            <w:r>
              <w:rPr>
                <w:rFonts w:asciiTheme="minorHAnsi" w:hAnsiTheme="minorHAnsi" w:cstheme="minorHAnsi"/>
                <w:color w:val="000000"/>
                <w:sz w:val="22"/>
                <w:szCs w:val="22"/>
              </w:rPr>
              <w:t xml:space="preserve">168 South </w:t>
            </w:r>
            <w:r w:rsidR="00DC23E4">
              <w:rPr>
                <w:rFonts w:asciiTheme="minorHAnsi" w:hAnsiTheme="minorHAnsi" w:cstheme="minorHAnsi"/>
                <w:color w:val="000000"/>
                <w:sz w:val="22"/>
                <w:szCs w:val="22"/>
              </w:rPr>
              <w:t>Main Street Torrington</w:t>
            </w:r>
          </w:p>
        </w:tc>
        <w:tc>
          <w:tcPr>
            <w:tcW w:w="1936" w:type="dxa"/>
            <w:gridSpan w:val="2"/>
          </w:tcPr>
          <w:p w:rsidR="00C90B3E" w:rsidRPr="00B720D6" w:rsidRDefault="00C90B3E" w:rsidP="00831873">
            <w:r>
              <w:t>(860) 482-7600</w:t>
            </w:r>
          </w:p>
        </w:tc>
        <w:tc>
          <w:tcPr>
            <w:tcW w:w="1710" w:type="dxa"/>
          </w:tcPr>
          <w:p w:rsidR="00CF3E02" w:rsidRPr="00B720D6" w:rsidRDefault="00CF3E02" w:rsidP="00831873">
            <w:r w:rsidRPr="00B720D6">
              <w:t>Suboxone</w:t>
            </w:r>
          </w:p>
        </w:tc>
        <w:tc>
          <w:tcPr>
            <w:tcW w:w="4020" w:type="dxa"/>
            <w:gridSpan w:val="2"/>
          </w:tcPr>
          <w:p w:rsidR="00CF3E02" w:rsidRDefault="00CF3E02" w:rsidP="00831873">
            <w:r>
              <w:t>Meghan Benjamin</w:t>
            </w:r>
          </w:p>
          <w:p w:rsidR="00095845" w:rsidRDefault="008C4469" w:rsidP="00831873">
            <w:hyperlink r:id="rId10" w:history="1">
              <w:r w:rsidR="00095845" w:rsidRPr="006C522A">
                <w:rPr>
                  <w:rStyle w:val="Hyperlink"/>
                  <w:rFonts w:cstheme="minorHAnsi"/>
                </w:rPr>
                <w:t>mbenjamin@cjryouth.org</w:t>
              </w:r>
            </w:hyperlink>
          </w:p>
          <w:p w:rsidR="00CF3E02" w:rsidRDefault="00CF3E02" w:rsidP="006C522A">
            <w:pPr>
              <w:pStyle w:val="NormalWeb"/>
              <w:spacing w:before="0" w:beforeAutospacing="0" w:after="0" w:afterAutospacing="0"/>
              <w:rPr>
                <w:rFonts w:asciiTheme="minorHAnsi" w:hAnsiTheme="minorHAnsi" w:cstheme="minorHAnsi"/>
                <w:color w:val="000000"/>
                <w:sz w:val="22"/>
                <w:szCs w:val="22"/>
              </w:rPr>
            </w:pPr>
            <w:r w:rsidRPr="006C522A">
              <w:rPr>
                <w:rFonts w:asciiTheme="minorHAnsi" w:hAnsiTheme="minorHAnsi" w:cstheme="minorHAnsi"/>
                <w:color w:val="000000"/>
                <w:sz w:val="22"/>
                <w:szCs w:val="22"/>
              </w:rPr>
              <w:t>MDFT/ATM Program Supervisor</w:t>
            </w:r>
          </w:p>
          <w:p w:rsidR="002B79FC" w:rsidRPr="006C522A" w:rsidRDefault="002B79FC" w:rsidP="006C522A">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80 Prospect St., Waterbury, CT 06702</w:t>
            </w:r>
          </w:p>
          <w:p w:rsidR="00CF3E02" w:rsidRPr="006C522A" w:rsidRDefault="00CF3E02" w:rsidP="006C522A">
            <w:pPr>
              <w:pStyle w:val="NormalWeb"/>
              <w:spacing w:before="0" w:beforeAutospacing="0" w:after="0" w:afterAutospacing="0"/>
              <w:rPr>
                <w:rFonts w:asciiTheme="minorHAnsi" w:hAnsiTheme="minorHAnsi" w:cstheme="minorHAnsi"/>
                <w:sz w:val="22"/>
                <w:szCs w:val="22"/>
              </w:rPr>
            </w:pPr>
            <w:r w:rsidRPr="006C522A">
              <w:rPr>
                <w:rFonts w:asciiTheme="minorHAnsi" w:hAnsiTheme="minorHAnsi" w:cstheme="minorHAnsi"/>
                <w:color w:val="000000"/>
                <w:sz w:val="22"/>
                <w:szCs w:val="22"/>
              </w:rPr>
              <w:t>Phone: (203) 757-9939 x210</w:t>
            </w:r>
          </w:p>
          <w:p w:rsidR="00CF3E02" w:rsidRPr="00B720D6" w:rsidRDefault="00CF3E02" w:rsidP="00095845">
            <w:pPr>
              <w:pStyle w:val="NormalWeb"/>
              <w:spacing w:before="0" w:beforeAutospacing="0" w:after="0" w:afterAutospacing="0"/>
            </w:pPr>
            <w:r w:rsidRPr="006C522A">
              <w:rPr>
                <w:rFonts w:asciiTheme="minorHAnsi" w:hAnsiTheme="minorHAnsi" w:cstheme="minorHAnsi"/>
                <w:color w:val="000000"/>
                <w:sz w:val="22"/>
                <w:szCs w:val="22"/>
              </w:rPr>
              <w:t>Cell: (203) 558-9665</w:t>
            </w:r>
          </w:p>
        </w:tc>
        <w:tc>
          <w:tcPr>
            <w:tcW w:w="3180" w:type="dxa"/>
            <w:gridSpan w:val="2"/>
          </w:tcPr>
          <w:p w:rsidR="00CF3E02" w:rsidRPr="00CF3E02" w:rsidRDefault="00A32580" w:rsidP="005171E4">
            <w:r w:rsidRPr="00934B1E">
              <w:rPr>
                <w:b/>
                <w:i/>
              </w:rPr>
              <w:t>MAT prescribed only to those aged 16-21 who are also in the CJR MDFT treatment program.</w:t>
            </w:r>
          </w:p>
        </w:tc>
      </w:tr>
      <w:tr w:rsidR="00CF3E02" w:rsidTr="00CD796D">
        <w:tc>
          <w:tcPr>
            <w:tcW w:w="1728" w:type="dxa"/>
          </w:tcPr>
          <w:p w:rsidR="00CF3E02" w:rsidRPr="00B720D6" w:rsidRDefault="009E06A6" w:rsidP="00831873">
            <w:r>
              <w:t xml:space="preserve">CNV HELP - </w:t>
            </w:r>
            <w:r w:rsidR="00CF3E02" w:rsidRPr="002658B8">
              <w:t xml:space="preserve">  Watkins Network</w:t>
            </w:r>
          </w:p>
        </w:tc>
        <w:tc>
          <w:tcPr>
            <w:tcW w:w="1641" w:type="dxa"/>
          </w:tcPr>
          <w:p w:rsidR="00CF3E02" w:rsidRDefault="00CF3E02" w:rsidP="00FC438C">
            <w:r>
              <w:t>21 Prospect Street</w:t>
            </w:r>
          </w:p>
          <w:p w:rsidR="00CF3E02" w:rsidRPr="00B720D6" w:rsidRDefault="004F0DEC" w:rsidP="00FC438C">
            <w:r>
              <w:t>Torrington</w:t>
            </w:r>
          </w:p>
        </w:tc>
        <w:tc>
          <w:tcPr>
            <w:tcW w:w="1936" w:type="dxa"/>
            <w:gridSpan w:val="2"/>
          </w:tcPr>
          <w:p w:rsidR="00CF3E02" w:rsidRDefault="009F2EB3" w:rsidP="00831873">
            <w:r>
              <w:t>(860) 482-7242</w:t>
            </w:r>
          </w:p>
          <w:p w:rsidR="00F4712B" w:rsidRDefault="00F4712B" w:rsidP="00831873"/>
          <w:p w:rsidR="00F4712B" w:rsidRPr="00B720D6" w:rsidRDefault="00F4712B" w:rsidP="00831873"/>
        </w:tc>
        <w:tc>
          <w:tcPr>
            <w:tcW w:w="1710" w:type="dxa"/>
          </w:tcPr>
          <w:p w:rsidR="00CF3E02" w:rsidRPr="00F4712B" w:rsidRDefault="00855EC3" w:rsidP="00855EC3">
            <w:proofErr w:type="spellStart"/>
            <w:r>
              <w:t>Vivitrol</w:t>
            </w:r>
            <w:proofErr w:type="spellEnd"/>
            <w:r>
              <w:t>;</w:t>
            </w:r>
            <w:r w:rsidR="00F4712B" w:rsidRPr="00F4712B">
              <w:t xml:space="preserve"> </w:t>
            </w:r>
            <w:proofErr w:type="spellStart"/>
            <w:r w:rsidR="00F4712B" w:rsidRPr="00F4712B">
              <w:t>Suboxone</w:t>
            </w:r>
            <w:proofErr w:type="spellEnd"/>
            <w:r>
              <w:t>;</w:t>
            </w:r>
            <w:r w:rsidR="00F4712B" w:rsidRPr="00F4712B">
              <w:t xml:space="preserve"> Naltrexone</w:t>
            </w:r>
            <w:r>
              <w:t>;</w:t>
            </w:r>
            <w:r w:rsidR="00F4712B" w:rsidRPr="00F4712B">
              <w:t xml:space="preserve"> </w:t>
            </w:r>
            <w:proofErr w:type="spellStart"/>
            <w:r w:rsidR="00F4712B" w:rsidRPr="00F4712B">
              <w:t>Campral</w:t>
            </w:r>
            <w:proofErr w:type="spellEnd"/>
          </w:p>
        </w:tc>
        <w:tc>
          <w:tcPr>
            <w:tcW w:w="4020" w:type="dxa"/>
            <w:gridSpan w:val="2"/>
          </w:tcPr>
          <w:p w:rsidR="00391530" w:rsidRPr="00391530" w:rsidRDefault="00391530" w:rsidP="00391530">
            <w:r w:rsidRPr="00391530">
              <w:t xml:space="preserve">Kelsey </w:t>
            </w:r>
            <w:proofErr w:type="spellStart"/>
            <w:r w:rsidRPr="00391530">
              <w:t>Dlugozima</w:t>
            </w:r>
            <w:proofErr w:type="spellEnd"/>
          </w:p>
          <w:p w:rsidR="00391530" w:rsidRPr="00391530" w:rsidRDefault="00391530" w:rsidP="00391530">
            <w:r w:rsidRPr="00391530">
              <w:t>Director of Outpatient Services</w:t>
            </w:r>
          </w:p>
          <w:p w:rsidR="00095845" w:rsidRPr="00391530" w:rsidRDefault="008C4469" w:rsidP="00391530">
            <w:hyperlink r:id="rId11" w:history="1">
              <w:r w:rsidR="00391530" w:rsidRPr="00095845">
                <w:rPr>
                  <w:rStyle w:val="Hyperlink"/>
                  <w:color w:val="4472C4" w:themeColor="accent5"/>
                </w:rPr>
                <w:t>kdlugozima@cnvhelp.org</w:t>
              </w:r>
            </w:hyperlink>
          </w:p>
          <w:p w:rsidR="00391530" w:rsidRPr="00391530" w:rsidRDefault="00391530" w:rsidP="00391530">
            <w:r w:rsidRPr="00391530">
              <w:t>(860) 482-7242 x1304</w:t>
            </w:r>
          </w:p>
          <w:p w:rsidR="00083E5E" w:rsidRDefault="00083E5E" w:rsidP="00391530"/>
        </w:tc>
        <w:tc>
          <w:tcPr>
            <w:tcW w:w="3180" w:type="dxa"/>
            <w:gridSpan w:val="2"/>
          </w:tcPr>
          <w:p w:rsidR="009F2EB3" w:rsidRDefault="00E934CD" w:rsidP="00E934CD">
            <w:pPr>
              <w:jc w:val="both"/>
            </w:pPr>
            <w:r>
              <w:t>After r</w:t>
            </w:r>
            <w:r w:rsidRPr="00E934CD">
              <w:t>eferra</w:t>
            </w:r>
            <w:r>
              <w:t>l</w:t>
            </w:r>
            <w:r w:rsidRPr="00E934CD">
              <w:t xml:space="preserve">, staff perform an initial clinical evaluation scheduled the same day or next day. Once that occurs, an appointment </w:t>
            </w:r>
            <w:r w:rsidR="0004325D">
              <w:t>w</w:t>
            </w:r>
            <w:r w:rsidRPr="00E934CD">
              <w:t xml:space="preserve">ith </w:t>
            </w:r>
            <w:r>
              <w:t xml:space="preserve">APRN for induction that </w:t>
            </w:r>
            <w:proofErr w:type="gramStart"/>
            <w:r>
              <w:t xml:space="preserve">can be </w:t>
            </w:r>
            <w:r w:rsidRPr="00E934CD">
              <w:t>complete</w:t>
            </w:r>
            <w:r>
              <w:t>d</w:t>
            </w:r>
            <w:proofErr w:type="gramEnd"/>
            <w:r w:rsidRPr="00E934CD">
              <w:t xml:space="preserve"> within 1-2 days</w:t>
            </w:r>
            <w:r>
              <w:t>,</w:t>
            </w:r>
            <w:r w:rsidRPr="00E934CD">
              <w:t xml:space="preserve"> as well. </w:t>
            </w:r>
          </w:p>
          <w:p w:rsidR="009F2EB3" w:rsidRPr="009F2EB3" w:rsidRDefault="009F2EB3" w:rsidP="00E934CD">
            <w:pPr>
              <w:jc w:val="both"/>
            </w:pPr>
            <w:r w:rsidRPr="009F2EB3">
              <w:t xml:space="preserve">Hours of operation: </w:t>
            </w:r>
          </w:p>
          <w:p w:rsidR="009F2EB3" w:rsidRDefault="009F2EB3" w:rsidP="009F2EB3">
            <w:r>
              <w:t>Monday: 1:00 p.m. to 9:00 p.m.</w:t>
            </w:r>
          </w:p>
          <w:p w:rsidR="009F2EB3" w:rsidRDefault="009F2EB3" w:rsidP="009F2EB3">
            <w:r>
              <w:t>Tuesday: 11:00 a.m. to 7:00 p.m.</w:t>
            </w:r>
          </w:p>
          <w:p w:rsidR="009F2EB3" w:rsidRDefault="009F2EB3" w:rsidP="009F2EB3">
            <w:proofErr w:type="gramStart"/>
            <w:r>
              <w:t>Wed:</w:t>
            </w:r>
            <w:proofErr w:type="gramEnd"/>
            <w:r>
              <w:t xml:space="preserve"> 1:00 p.m. to 9:00 p.m.</w:t>
            </w:r>
          </w:p>
          <w:p w:rsidR="009F2EB3" w:rsidRDefault="009F2EB3" w:rsidP="009F2EB3">
            <w:r>
              <w:t>Thursday: 1:00 p.m. to 9:00 p.m.</w:t>
            </w:r>
          </w:p>
          <w:p w:rsidR="00CF3E02" w:rsidRDefault="009F2EB3" w:rsidP="009F2EB3">
            <w:pPr>
              <w:jc w:val="both"/>
            </w:pPr>
            <w:r>
              <w:t>Friday: 9:00 a.m. to 5:00 p.m.</w:t>
            </w:r>
          </w:p>
        </w:tc>
      </w:tr>
      <w:tr w:rsidR="00CF3E02" w:rsidRPr="00B720D6" w:rsidTr="00CD796D">
        <w:tc>
          <w:tcPr>
            <w:tcW w:w="1728" w:type="dxa"/>
          </w:tcPr>
          <w:p w:rsidR="00CF3E02" w:rsidRPr="00B720D6" w:rsidRDefault="00CF3E02" w:rsidP="00831873">
            <w:r w:rsidRPr="00B720D6">
              <w:t>MCCA</w:t>
            </w:r>
          </w:p>
        </w:tc>
        <w:tc>
          <w:tcPr>
            <w:tcW w:w="1641" w:type="dxa"/>
          </w:tcPr>
          <w:p w:rsidR="00CF3E02" w:rsidRDefault="00CF3E02" w:rsidP="00FC438C">
            <w:r>
              <w:t>50 Bridge Street</w:t>
            </w:r>
          </w:p>
          <w:p w:rsidR="00CF3E02" w:rsidRDefault="004F0DEC" w:rsidP="00FC438C">
            <w:r>
              <w:t>New Milford</w:t>
            </w:r>
          </w:p>
          <w:p w:rsidR="004F0DEC" w:rsidRDefault="004F0DEC" w:rsidP="00FC438C">
            <w:r>
              <w:t>(860) 355-7312</w:t>
            </w:r>
          </w:p>
          <w:p w:rsidR="00201ACE" w:rsidRDefault="00201ACE" w:rsidP="00FC438C"/>
          <w:p w:rsidR="006808ED" w:rsidRDefault="006808ED" w:rsidP="00FC438C"/>
          <w:p w:rsidR="006808ED" w:rsidRDefault="006808ED" w:rsidP="00FC438C"/>
          <w:p w:rsidR="006808ED" w:rsidRDefault="006808ED" w:rsidP="00FC438C"/>
          <w:p w:rsidR="006808ED" w:rsidRDefault="006808ED" w:rsidP="00FC438C"/>
          <w:p w:rsidR="00CF3E02" w:rsidRDefault="00CF3E02" w:rsidP="00FC438C">
            <w:r>
              <w:lastRenderedPageBreak/>
              <w:t>41</w:t>
            </w:r>
            <w:r w:rsidR="004F0DEC">
              <w:t xml:space="preserve">0 Winsted Road,  Torrington </w:t>
            </w:r>
          </w:p>
          <w:p w:rsidR="001D306B" w:rsidRPr="00B720D6" w:rsidRDefault="004F0DEC" w:rsidP="006808ED">
            <w:r>
              <w:t>(860) 482-2613</w:t>
            </w:r>
          </w:p>
        </w:tc>
        <w:tc>
          <w:tcPr>
            <w:tcW w:w="1936" w:type="dxa"/>
            <w:gridSpan w:val="2"/>
          </w:tcPr>
          <w:p w:rsidR="00CF3E02" w:rsidRPr="00B720D6" w:rsidRDefault="00CF3E02" w:rsidP="003B5E59">
            <w:r w:rsidRPr="00B720D6">
              <w:lastRenderedPageBreak/>
              <w:t>(</w:t>
            </w:r>
            <w:r w:rsidR="003B5E59">
              <w:t>860) 482-2613</w:t>
            </w:r>
          </w:p>
        </w:tc>
        <w:tc>
          <w:tcPr>
            <w:tcW w:w="1710" w:type="dxa"/>
          </w:tcPr>
          <w:p w:rsidR="00CF3E02" w:rsidRPr="00B720D6" w:rsidRDefault="00855EC3" w:rsidP="00855EC3">
            <w:r>
              <w:t>Suboxone; Vivitrol;</w:t>
            </w:r>
            <w:r w:rsidR="00CF3E02" w:rsidRPr="00B720D6">
              <w:t xml:space="preserve"> Subutex</w:t>
            </w:r>
            <w:r>
              <w:t>;</w:t>
            </w:r>
            <w:r w:rsidR="00CF3E02" w:rsidRPr="00B720D6">
              <w:t xml:space="preserve"> Naltrexone</w:t>
            </w:r>
          </w:p>
        </w:tc>
        <w:tc>
          <w:tcPr>
            <w:tcW w:w="4020" w:type="dxa"/>
            <w:gridSpan w:val="2"/>
          </w:tcPr>
          <w:p w:rsidR="00CF3E02" w:rsidRDefault="003B5E59" w:rsidP="00E15E9B">
            <w:r>
              <w:t>Ebony Wilson, Program Director</w:t>
            </w:r>
          </w:p>
          <w:p w:rsidR="003B5E59" w:rsidRPr="00AD4EAB" w:rsidRDefault="008C4469" w:rsidP="00E15E9B">
            <w:pPr>
              <w:rPr>
                <w:color w:val="4472C4" w:themeColor="accent5"/>
              </w:rPr>
            </w:pPr>
            <w:hyperlink r:id="rId12" w:history="1">
              <w:r w:rsidR="00BA01F1" w:rsidRPr="00AD4EAB">
                <w:rPr>
                  <w:rStyle w:val="Hyperlink"/>
                  <w:color w:val="4472C4" w:themeColor="accent5"/>
                </w:rPr>
                <w:t>ebwilson@mccaonline.com</w:t>
              </w:r>
            </w:hyperlink>
          </w:p>
          <w:p w:rsidR="004F0DEC" w:rsidRPr="0039439B" w:rsidRDefault="0039439B" w:rsidP="00E15E9B">
            <w:pPr>
              <w:rPr>
                <w:rStyle w:val="Hyperlink"/>
                <w:color w:val="auto"/>
              </w:rPr>
            </w:pPr>
            <w:r>
              <w:rPr>
                <w:rStyle w:val="Hyperlink"/>
                <w:color w:val="auto"/>
              </w:rPr>
              <w:t>(860) 482-2613</w:t>
            </w:r>
          </w:p>
          <w:p w:rsidR="004F0DEC" w:rsidRPr="0039439B" w:rsidRDefault="004F0DEC" w:rsidP="00E15E9B">
            <w:pPr>
              <w:rPr>
                <w:rStyle w:val="Hyperlink"/>
                <w:color w:val="auto"/>
              </w:rPr>
            </w:pPr>
            <w:r w:rsidRPr="0039439B">
              <w:rPr>
                <w:rStyle w:val="Hyperlink"/>
                <w:color w:val="auto"/>
              </w:rPr>
              <w:t xml:space="preserve">Torrington </w:t>
            </w:r>
            <w:r w:rsidR="0039439B">
              <w:rPr>
                <w:rStyle w:val="Hyperlink"/>
                <w:color w:val="auto"/>
              </w:rPr>
              <w:t xml:space="preserve">ext. </w:t>
            </w:r>
            <w:r w:rsidRPr="0039439B">
              <w:rPr>
                <w:rStyle w:val="Hyperlink"/>
                <w:color w:val="auto"/>
              </w:rPr>
              <w:t>20401</w:t>
            </w:r>
          </w:p>
          <w:p w:rsidR="004F0DEC" w:rsidRPr="0039439B" w:rsidRDefault="004F0DEC" w:rsidP="00E15E9B">
            <w:pPr>
              <w:rPr>
                <w:rStyle w:val="Hyperlink"/>
                <w:color w:val="auto"/>
              </w:rPr>
            </w:pPr>
            <w:r w:rsidRPr="0039439B">
              <w:rPr>
                <w:rStyle w:val="Hyperlink"/>
                <w:color w:val="auto"/>
              </w:rPr>
              <w:t xml:space="preserve">New Milford </w:t>
            </w:r>
            <w:r w:rsidR="0039439B">
              <w:rPr>
                <w:rStyle w:val="Hyperlink"/>
                <w:color w:val="auto"/>
              </w:rPr>
              <w:t xml:space="preserve">ext. </w:t>
            </w:r>
            <w:r w:rsidRPr="0039439B">
              <w:rPr>
                <w:rStyle w:val="Hyperlink"/>
                <w:color w:val="auto"/>
              </w:rPr>
              <w:t>20301</w:t>
            </w:r>
          </w:p>
          <w:p w:rsidR="004F0DEC" w:rsidRPr="0039439B" w:rsidRDefault="0039439B" w:rsidP="00E15E9B">
            <w:pPr>
              <w:rPr>
                <w:rStyle w:val="Hyperlink"/>
                <w:color w:val="auto"/>
              </w:rPr>
            </w:pPr>
            <w:r>
              <w:rPr>
                <w:rStyle w:val="Hyperlink"/>
                <w:color w:val="auto"/>
              </w:rPr>
              <w:t>OR</w:t>
            </w:r>
          </w:p>
          <w:p w:rsidR="004F0DEC" w:rsidRPr="0039439B" w:rsidRDefault="004F0DEC" w:rsidP="00E15E9B">
            <w:pPr>
              <w:rPr>
                <w:rStyle w:val="Hyperlink"/>
                <w:color w:val="auto"/>
              </w:rPr>
            </w:pPr>
            <w:r w:rsidRPr="0039439B">
              <w:rPr>
                <w:rStyle w:val="Hyperlink"/>
                <w:color w:val="auto"/>
              </w:rPr>
              <w:t>Carmela Almeida, Adm. Assistant</w:t>
            </w:r>
          </w:p>
          <w:p w:rsidR="004F0DEC" w:rsidRDefault="004F0DEC" w:rsidP="00E15E9B">
            <w:pPr>
              <w:rPr>
                <w:rStyle w:val="Hyperlink"/>
              </w:rPr>
            </w:pPr>
            <w:r w:rsidRPr="0039439B">
              <w:rPr>
                <w:rStyle w:val="Hyperlink"/>
                <w:color w:val="auto"/>
              </w:rPr>
              <w:t xml:space="preserve">New Milford </w:t>
            </w:r>
            <w:r w:rsidR="0039439B" w:rsidRPr="0039439B">
              <w:rPr>
                <w:rStyle w:val="Hyperlink"/>
                <w:color w:val="auto"/>
              </w:rPr>
              <w:t>(860) 355-7312</w:t>
            </w:r>
            <w:r w:rsidRPr="0039439B">
              <w:rPr>
                <w:rStyle w:val="Hyperlink"/>
                <w:color w:val="auto"/>
              </w:rPr>
              <w:t>, ext. 20300</w:t>
            </w:r>
          </w:p>
          <w:p w:rsidR="006808ED" w:rsidRDefault="006808ED" w:rsidP="00E15E9B">
            <w:pPr>
              <w:rPr>
                <w:rStyle w:val="Hyperlink"/>
                <w:color w:val="auto"/>
              </w:rPr>
            </w:pPr>
          </w:p>
          <w:p w:rsidR="004F0DEC" w:rsidRPr="0039439B" w:rsidRDefault="0039439B" w:rsidP="00E15E9B">
            <w:pPr>
              <w:rPr>
                <w:rStyle w:val="Hyperlink"/>
                <w:color w:val="auto"/>
              </w:rPr>
            </w:pPr>
            <w:r w:rsidRPr="0039439B">
              <w:rPr>
                <w:rStyle w:val="Hyperlink"/>
                <w:color w:val="auto"/>
              </w:rPr>
              <w:lastRenderedPageBreak/>
              <w:t>OR</w:t>
            </w:r>
          </w:p>
          <w:p w:rsidR="004F0DEC" w:rsidRPr="0039439B" w:rsidRDefault="004F0DEC" w:rsidP="00E15E9B">
            <w:pPr>
              <w:rPr>
                <w:rStyle w:val="Hyperlink"/>
                <w:color w:val="auto"/>
              </w:rPr>
            </w:pPr>
            <w:r w:rsidRPr="0039439B">
              <w:rPr>
                <w:rStyle w:val="Hyperlink"/>
                <w:color w:val="auto"/>
              </w:rPr>
              <w:t xml:space="preserve">Melissa </w:t>
            </w:r>
            <w:proofErr w:type="spellStart"/>
            <w:r w:rsidRPr="0039439B">
              <w:rPr>
                <w:rStyle w:val="Hyperlink"/>
                <w:color w:val="auto"/>
              </w:rPr>
              <w:t>DelGrande</w:t>
            </w:r>
            <w:proofErr w:type="spellEnd"/>
            <w:r w:rsidRPr="0039439B">
              <w:rPr>
                <w:rStyle w:val="Hyperlink"/>
                <w:color w:val="auto"/>
              </w:rPr>
              <w:t>, Adm. Assistant</w:t>
            </w:r>
          </w:p>
          <w:p w:rsidR="003B5E59" w:rsidRPr="00B720D6" w:rsidRDefault="004F0DEC" w:rsidP="0039439B">
            <w:r w:rsidRPr="0039439B">
              <w:rPr>
                <w:rStyle w:val="Hyperlink"/>
                <w:color w:val="auto"/>
              </w:rPr>
              <w:t xml:space="preserve">Torrington </w:t>
            </w:r>
            <w:r w:rsidR="0039439B" w:rsidRPr="0039439B">
              <w:rPr>
                <w:rStyle w:val="Hyperlink"/>
                <w:color w:val="auto"/>
              </w:rPr>
              <w:t>(860) 482-2613</w:t>
            </w:r>
            <w:r w:rsidRPr="0039439B">
              <w:rPr>
                <w:rStyle w:val="Hyperlink"/>
                <w:color w:val="auto"/>
              </w:rPr>
              <w:t>, ext. 20400</w:t>
            </w:r>
          </w:p>
        </w:tc>
        <w:tc>
          <w:tcPr>
            <w:tcW w:w="3180" w:type="dxa"/>
            <w:gridSpan w:val="2"/>
          </w:tcPr>
          <w:p w:rsidR="00F41AD1" w:rsidRDefault="00F41AD1" w:rsidP="003B5E59">
            <w:pPr>
              <w:rPr>
                <w:rFonts w:ascii="Calibri" w:eastAsia="Times New Roman" w:hAnsi="Calibri" w:cs="Calibri"/>
                <w:color w:val="000000"/>
              </w:rPr>
            </w:pPr>
            <w:r>
              <w:rPr>
                <w:rFonts w:ascii="Calibri" w:eastAsia="Times New Roman" w:hAnsi="Calibri" w:cs="Calibri"/>
                <w:color w:val="000000"/>
              </w:rPr>
              <w:lastRenderedPageBreak/>
              <w:t xml:space="preserve">Once referral is made, appointment with clinician is in 3 or 4 days or sooner if available for an assessment; then an </w:t>
            </w:r>
          </w:p>
          <w:p w:rsidR="00CF3E02" w:rsidRDefault="00F41AD1" w:rsidP="00F41AD1">
            <w:pPr>
              <w:rPr>
                <w:rFonts w:ascii="Calibri" w:eastAsia="Times New Roman" w:hAnsi="Calibri" w:cs="Calibri"/>
                <w:color w:val="000000"/>
              </w:rPr>
            </w:pPr>
            <w:r>
              <w:rPr>
                <w:rFonts w:ascii="Calibri" w:eastAsia="Times New Roman" w:hAnsi="Calibri" w:cs="Calibri"/>
                <w:color w:val="000000"/>
              </w:rPr>
              <w:t xml:space="preserve">APRN appointment is given for 2-3 days from then or sooner if available </w:t>
            </w:r>
          </w:p>
        </w:tc>
      </w:tr>
      <w:tr w:rsidR="00CF3E02" w:rsidRPr="00B720D6" w:rsidTr="00CD796D">
        <w:tc>
          <w:tcPr>
            <w:tcW w:w="1728" w:type="dxa"/>
          </w:tcPr>
          <w:p w:rsidR="00CF3E02" w:rsidRPr="00B720D6" w:rsidRDefault="00CF3E02" w:rsidP="00831873">
            <w:r w:rsidRPr="002658B8">
              <w:t>McCall Center for Behavioral Health</w:t>
            </w:r>
          </w:p>
        </w:tc>
        <w:tc>
          <w:tcPr>
            <w:tcW w:w="1641" w:type="dxa"/>
          </w:tcPr>
          <w:p w:rsidR="00CF3E02" w:rsidRPr="00B720D6" w:rsidRDefault="00CF3E02" w:rsidP="00831873">
            <w:r w:rsidRPr="00FC438C">
              <w:t xml:space="preserve">58 High Street, </w:t>
            </w:r>
            <w:r w:rsidR="004F0DEC">
              <w:t>Torrington</w:t>
            </w:r>
          </w:p>
        </w:tc>
        <w:tc>
          <w:tcPr>
            <w:tcW w:w="1936" w:type="dxa"/>
            <w:gridSpan w:val="2"/>
          </w:tcPr>
          <w:p w:rsidR="00083E5E" w:rsidRDefault="008C1B31" w:rsidP="00831873">
            <w:r>
              <w:t>(860) 496-2100</w:t>
            </w:r>
          </w:p>
          <w:p w:rsidR="008C4469" w:rsidRDefault="008C4469" w:rsidP="00831873"/>
          <w:p w:rsidR="008C4469" w:rsidRDefault="008C4469" w:rsidP="00831873"/>
          <w:p w:rsidR="008C4469" w:rsidRDefault="008C4469" w:rsidP="00831873"/>
          <w:p w:rsidR="008C4469" w:rsidRDefault="008C4469" w:rsidP="00831873"/>
          <w:p w:rsidR="008C4469" w:rsidRDefault="008C4469" w:rsidP="00831873"/>
          <w:p w:rsidR="008C4469" w:rsidRDefault="008C4469" w:rsidP="00831873"/>
          <w:p w:rsidR="008C4469" w:rsidRPr="00B720D6" w:rsidRDefault="008C4469" w:rsidP="008C4469">
            <w:pPr>
              <w:outlineLvl w:val="0"/>
            </w:pPr>
          </w:p>
        </w:tc>
        <w:tc>
          <w:tcPr>
            <w:tcW w:w="1710" w:type="dxa"/>
          </w:tcPr>
          <w:p w:rsidR="00855EC3" w:rsidRDefault="00855EC3" w:rsidP="00831873">
            <w:r>
              <w:t>Suboxone;</w:t>
            </w:r>
          </w:p>
          <w:p w:rsidR="00CF3E02" w:rsidRPr="00B720D6" w:rsidRDefault="00855EC3" w:rsidP="00855EC3">
            <w:proofErr w:type="spellStart"/>
            <w:r>
              <w:t>Sublocade</w:t>
            </w:r>
            <w:proofErr w:type="spellEnd"/>
            <w:r>
              <w:t>;</w:t>
            </w:r>
            <w:r w:rsidR="004F5CF3">
              <w:t xml:space="preserve"> Naltrexone</w:t>
            </w:r>
            <w:r>
              <w:t>;</w:t>
            </w:r>
            <w:r w:rsidR="004F5CF3">
              <w:t xml:space="preserve"> </w:t>
            </w:r>
            <w:proofErr w:type="spellStart"/>
            <w:r w:rsidR="004F5CF3">
              <w:t>Vivitrol</w:t>
            </w:r>
            <w:proofErr w:type="spellEnd"/>
          </w:p>
        </w:tc>
        <w:tc>
          <w:tcPr>
            <w:tcW w:w="4020" w:type="dxa"/>
            <w:gridSpan w:val="2"/>
          </w:tcPr>
          <w:p w:rsidR="00CF3E02" w:rsidRDefault="00CF3E02" w:rsidP="00831873">
            <w:r>
              <w:t>Karin Robinson</w:t>
            </w:r>
          </w:p>
          <w:p w:rsidR="00083E5E" w:rsidRDefault="008C4469" w:rsidP="00831873">
            <w:pPr>
              <w:rPr>
                <w:rStyle w:val="Hyperlink"/>
              </w:rPr>
            </w:pPr>
            <w:hyperlink r:id="rId13" w:history="1">
              <w:r w:rsidR="00083E5E" w:rsidRPr="0076278E">
                <w:rPr>
                  <w:rStyle w:val="Hyperlink"/>
                </w:rPr>
                <w:t>Karin.robinson@mccallcenter.org</w:t>
              </w:r>
            </w:hyperlink>
          </w:p>
          <w:p w:rsidR="00095845" w:rsidRDefault="00095845" w:rsidP="00831873">
            <w:r>
              <w:t>(860) 496-2100, x105</w:t>
            </w:r>
          </w:p>
          <w:p w:rsidR="00083E5E" w:rsidRDefault="00083E5E" w:rsidP="00831873"/>
          <w:p w:rsidR="00C37168" w:rsidRDefault="00C37168" w:rsidP="00831873"/>
          <w:p w:rsidR="00C37168" w:rsidRDefault="00C37168" w:rsidP="00831873"/>
          <w:p w:rsidR="00083E5E" w:rsidRDefault="003950D7" w:rsidP="006877AD">
            <w:r w:rsidRPr="003950D7">
              <w:rPr>
                <w:color w:val="FF0000"/>
              </w:rPr>
              <w:t xml:space="preserve">       </w:t>
            </w:r>
          </w:p>
        </w:tc>
        <w:tc>
          <w:tcPr>
            <w:tcW w:w="3180" w:type="dxa"/>
            <w:gridSpan w:val="2"/>
          </w:tcPr>
          <w:p w:rsidR="008C4469" w:rsidRDefault="008C4469" w:rsidP="008C4469">
            <w:r w:rsidRPr="008C4469">
              <w:rPr>
                <w:u w:val="single"/>
              </w:rPr>
              <w:t>Of</w:t>
            </w:r>
            <w:r w:rsidRPr="008C4469">
              <w:rPr>
                <w:u w:val="single"/>
              </w:rPr>
              <w:t>fice</w:t>
            </w:r>
            <w:r>
              <w:t xml:space="preserve">:  Same day inductions depending on assessed need if client calls before 2pm.   Call front desk (860)496-2100 for triage and appointment. </w:t>
            </w:r>
          </w:p>
          <w:p w:rsidR="008C4469" w:rsidRDefault="008C4469" w:rsidP="008C4469"/>
          <w:p w:rsidR="00083E5E" w:rsidRDefault="008C4469" w:rsidP="008C4469">
            <w:pPr>
              <w:outlineLvl w:val="0"/>
              <w:rPr>
                <w:rFonts w:ascii="Calibri" w:eastAsia="Times New Roman" w:hAnsi="Calibri" w:cs="Calibri"/>
                <w:color w:val="000000"/>
              </w:rPr>
            </w:pPr>
            <w:r w:rsidRPr="008C4469">
              <w:rPr>
                <w:u w:val="single"/>
              </w:rPr>
              <w:t>Van</w:t>
            </w:r>
            <w:r>
              <w:t>: Same day inductions, no appointment necessary, call (860)496-2100 for times and locations</w:t>
            </w:r>
            <w:r>
              <w:t>.</w:t>
            </w:r>
            <w:bookmarkStart w:id="0" w:name="_GoBack"/>
            <w:bookmarkEnd w:id="0"/>
          </w:p>
        </w:tc>
      </w:tr>
      <w:tr w:rsidR="00DC23E4" w:rsidRPr="00B720D6" w:rsidTr="00CD796D">
        <w:tc>
          <w:tcPr>
            <w:tcW w:w="1728" w:type="dxa"/>
          </w:tcPr>
          <w:p w:rsidR="00DC23E4" w:rsidRPr="002658B8" w:rsidRDefault="00DC23E4" w:rsidP="00831873">
            <w:r>
              <w:t>New England Mind Matters</w:t>
            </w:r>
          </w:p>
        </w:tc>
        <w:tc>
          <w:tcPr>
            <w:tcW w:w="1641" w:type="dxa"/>
          </w:tcPr>
          <w:p w:rsidR="00DC23E4" w:rsidRDefault="00DC23E4" w:rsidP="00831873">
            <w:r>
              <w:t xml:space="preserve">227 Main Street </w:t>
            </w:r>
          </w:p>
          <w:p w:rsidR="00DC23E4" w:rsidRPr="00FC438C" w:rsidRDefault="00DC23E4" w:rsidP="00831873">
            <w:r>
              <w:t>Torrington</w:t>
            </w:r>
          </w:p>
        </w:tc>
        <w:tc>
          <w:tcPr>
            <w:tcW w:w="1936" w:type="dxa"/>
            <w:gridSpan w:val="2"/>
          </w:tcPr>
          <w:p w:rsidR="00DC23E4" w:rsidRPr="00FC438C" w:rsidRDefault="00DC23E4" w:rsidP="00831873">
            <w:r>
              <w:t>(860) 294-0211</w:t>
            </w:r>
          </w:p>
        </w:tc>
        <w:tc>
          <w:tcPr>
            <w:tcW w:w="1710" w:type="dxa"/>
          </w:tcPr>
          <w:p w:rsidR="00DC23E4" w:rsidRDefault="00DC23E4" w:rsidP="00831873"/>
        </w:tc>
        <w:tc>
          <w:tcPr>
            <w:tcW w:w="4020" w:type="dxa"/>
            <w:gridSpan w:val="2"/>
          </w:tcPr>
          <w:p w:rsidR="00DC23E4" w:rsidRDefault="00BC2559" w:rsidP="00831873">
            <w:r>
              <w:t>Dr. Katrin Moskowitz</w:t>
            </w:r>
          </w:p>
        </w:tc>
        <w:tc>
          <w:tcPr>
            <w:tcW w:w="3180" w:type="dxa"/>
            <w:gridSpan w:val="2"/>
          </w:tcPr>
          <w:p w:rsidR="00DC23E4" w:rsidRPr="00CF3E02" w:rsidRDefault="00264182" w:rsidP="00263AA6">
            <w:pPr>
              <w:rPr>
                <w:rFonts w:ascii="Calibri" w:eastAsia="Times New Roman" w:hAnsi="Calibri" w:cs="Calibri"/>
                <w:color w:val="000000"/>
              </w:rPr>
            </w:pPr>
            <w:r>
              <w:rPr>
                <w:rFonts w:ascii="Calibri" w:eastAsia="Times New Roman" w:hAnsi="Calibri" w:cs="Calibri"/>
                <w:color w:val="000000"/>
              </w:rPr>
              <w:t>Not taking  new patients at this time (11/5/20)</w:t>
            </w:r>
          </w:p>
        </w:tc>
      </w:tr>
      <w:tr w:rsidR="00CF3E02" w:rsidRPr="00B720D6" w:rsidTr="00CD796D">
        <w:tc>
          <w:tcPr>
            <w:tcW w:w="1728" w:type="dxa"/>
          </w:tcPr>
          <w:p w:rsidR="00CF3E02" w:rsidRPr="00B720D6" w:rsidRDefault="00CF3E02" w:rsidP="00831873">
            <w:r w:rsidRPr="002658B8">
              <w:t>Practice of Health and Wellness</w:t>
            </w:r>
          </w:p>
        </w:tc>
        <w:tc>
          <w:tcPr>
            <w:tcW w:w="1641" w:type="dxa"/>
          </w:tcPr>
          <w:p w:rsidR="00CF3E02" w:rsidRPr="00B720D6" w:rsidRDefault="00CF3E02" w:rsidP="00831873">
            <w:r w:rsidRPr="00FC438C">
              <w:t>13</w:t>
            </w:r>
            <w:r w:rsidR="00DC23E4">
              <w:t xml:space="preserve">1 Main St.  #101A, Thomaston </w:t>
            </w:r>
          </w:p>
        </w:tc>
        <w:tc>
          <w:tcPr>
            <w:tcW w:w="1936" w:type="dxa"/>
            <w:gridSpan w:val="2"/>
          </w:tcPr>
          <w:p w:rsidR="00CF3E02" w:rsidRPr="00B720D6" w:rsidRDefault="00CF3E02" w:rsidP="00831873">
            <w:r w:rsidRPr="00FC438C">
              <w:t>(860) 880-2525</w:t>
            </w:r>
          </w:p>
        </w:tc>
        <w:tc>
          <w:tcPr>
            <w:tcW w:w="1710" w:type="dxa"/>
          </w:tcPr>
          <w:p w:rsidR="00CF3E02" w:rsidRPr="00B720D6" w:rsidRDefault="00CF3E02" w:rsidP="00831873">
            <w:r>
              <w:t>Suboxone; Vivitrol</w:t>
            </w:r>
          </w:p>
        </w:tc>
        <w:tc>
          <w:tcPr>
            <w:tcW w:w="4020" w:type="dxa"/>
            <w:gridSpan w:val="2"/>
          </w:tcPr>
          <w:p w:rsidR="00CF3E02" w:rsidRDefault="00CF3E02" w:rsidP="00831873">
            <w:r>
              <w:t xml:space="preserve">Dr. Pam </w:t>
            </w:r>
            <w:proofErr w:type="spellStart"/>
            <w:r>
              <w:t>Cipriano</w:t>
            </w:r>
            <w:proofErr w:type="spellEnd"/>
          </w:p>
          <w:p w:rsidR="00CF3E02" w:rsidRDefault="008C4469" w:rsidP="00831873">
            <w:hyperlink r:id="rId14" w:history="1">
              <w:r w:rsidR="00CF3E02" w:rsidRPr="0076278E">
                <w:rPr>
                  <w:rStyle w:val="Hyperlink"/>
                </w:rPr>
                <w:t>dr.pamela.cipriano@gmail.com</w:t>
              </w:r>
            </w:hyperlink>
          </w:p>
          <w:p w:rsidR="00CF3E02" w:rsidRDefault="00CF3E02" w:rsidP="00831873"/>
        </w:tc>
        <w:tc>
          <w:tcPr>
            <w:tcW w:w="3180" w:type="dxa"/>
            <w:gridSpan w:val="2"/>
          </w:tcPr>
          <w:p w:rsidR="00CF3E02" w:rsidRDefault="00CF3E02" w:rsidP="00263AA6">
            <w:pPr>
              <w:rPr>
                <w:rFonts w:ascii="Calibri" w:eastAsia="Times New Roman" w:hAnsi="Calibri" w:cs="Calibri"/>
                <w:color w:val="000000"/>
              </w:rPr>
            </w:pPr>
            <w:r w:rsidRPr="00CF3E02">
              <w:rPr>
                <w:rFonts w:ascii="Calibri" w:eastAsia="Times New Roman" w:hAnsi="Calibri" w:cs="Calibri"/>
                <w:color w:val="000000"/>
              </w:rPr>
              <w:t>Primary Care with MAT available</w:t>
            </w:r>
          </w:p>
        </w:tc>
      </w:tr>
      <w:tr w:rsidR="00CF3E02" w:rsidRPr="00B720D6" w:rsidTr="00CD796D">
        <w:tc>
          <w:tcPr>
            <w:tcW w:w="1728" w:type="dxa"/>
          </w:tcPr>
          <w:p w:rsidR="00CF3E02" w:rsidRPr="00B720D6" w:rsidRDefault="00CF3E02" w:rsidP="00831873">
            <w:r w:rsidRPr="002658B8">
              <w:t>Synergy Advanced Healthcare</w:t>
            </w:r>
          </w:p>
        </w:tc>
        <w:tc>
          <w:tcPr>
            <w:tcW w:w="1641" w:type="dxa"/>
          </w:tcPr>
          <w:p w:rsidR="00CF3E02" w:rsidRPr="00B720D6" w:rsidRDefault="00CF3E02" w:rsidP="00746DE2">
            <w:r w:rsidRPr="00FC438C">
              <w:t>51 Commercial B</w:t>
            </w:r>
            <w:r w:rsidR="00746DE2">
              <w:t>oulevard</w:t>
            </w:r>
            <w:r w:rsidR="00DC23E4">
              <w:t>, Torrington</w:t>
            </w:r>
          </w:p>
        </w:tc>
        <w:tc>
          <w:tcPr>
            <w:tcW w:w="1936" w:type="dxa"/>
            <w:gridSpan w:val="2"/>
          </w:tcPr>
          <w:p w:rsidR="00CF3E02" w:rsidRDefault="00CF3E02" w:rsidP="00831873">
            <w:r w:rsidRPr="00A65601">
              <w:t>(860) 618-7575</w:t>
            </w:r>
          </w:p>
          <w:p w:rsidR="00767BD1" w:rsidRPr="00B720D6" w:rsidRDefault="00767BD1" w:rsidP="00831873"/>
        </w:tc>
        <w:tc>
          <w:tcPr>
            <w:tcW w:w="1710" w:type="dxa"/>
          </w:tcPr>
          <w:p w:rsidR="00CF3E02" w:rsidRPr="00B720D6" w:rsidRDefault="00CF3E02" w:rsidP="00DD710B">
            <w:proofErr w:type="spellStart"/>
            <w:r>
              <w:t>Suboxone</w:t>
            </w:r>
            <w:proofErr w:type="spellEnd"/>
            <w:r>
              <w:t xml:space="preserve">; </w:t>
            </w:r>
            <w:proofErr w:type="spellStart"/>
            <w:r w:rsidR="00DD710B">
              <w:t>Sublocade</w:t>
            </w:r>
            <w:proofErr w:type="spellEnd"/>
            <w:r w:rsidR="00DD710B">
              <w:t xml:space="preserve">; </w:t>
            </w:r>
            <w:proofErr w:type="spellStart"/>
            <w:r>
              <w:t>Vivitrol</w:t>
            </w:r>
            <w:proofErr w:type="spellEnd"/>
          </w:p>
        </w:tc>
        <w:tc>
          <w:tcPr>
            <w:tcW w:w="4020" w:type="dxa"/>
            <w:gridSpan w:val="2"/>
          </w:tcPr>
          <w:p w:rsidR="00CF3E02" w:rsidRDefault="00DD710B" w:rsidP="00831873">
            <w:r>
              <w:t>Keith</w:t>
            </w:r>
            <w:r w:rsidR="00CF3E02">
              <w:t xml:space="preserve"> Stepney</w:t>
            </w:r>
            <w:r w:rsidR="00732336">
              <w:t xml:space="preserve"> </w:t>
            </w:r>
          </w:p>
          <w:p w:rsidR="00767BD1" w:rsidRPr="00095845" w:rsidRDefault="00DD710B" w:rsidP="00095845">
            <w:pPr>
              <w:rPr>
                <w:color w:val="4472C4" w:themeColor="accent5"/>
              </w:rPr>
            </w:pPr>
            <w:proofErr w:type="spellStart"/>
            <w:r w:rsidRPr="00095845">
              <w:rPr>
                <w:color w:val="4472C4" w:themeColor="accent5"/>
              </w:rPr>
              <w:t>keith@synergyhealth.care</w:t>
            </w:r>
            <w:proofErr w:type="spellEnd"/>
            <w:r w:rsidR="00095845" w:rsidRPr="00095845">
              <w:rPr>
                <w:color w:val="4472C4" w:themeColor="accent5"/>
              </w:rPr>
              <w:t xml:space="preserve"> </w:t>
            </w:r>
          </w:p>
          <w:p w:rsidR="00095845" w:rsidRDefault="00095845" w:rsidP="00095845">
            <w:r>
              <w:t>(860) 618-7575</w:t>
            </w:r>
          </w:p>
        </w:tc>
        <w:tc>
          <w:tcPr>
            <w:tcW w:w="3180" w:type="dxa"/>
            <w:gridSpan w:val="2"/>
          </w:tcPr>
          <w:p w:rsidR="00CF3E02" w:rsidRDefault="00DD710B" w:rsidP="00DC23E4">
            <w:pPr>
              <w:rPr>
                <w:rFonts w:ascii="Calibri" w:eastAsia="Times New Roman" w:hAnsi="Calibri" w:cs="Calibri"/>
                <w:color w:val="000000"/>
              </w:rPr>
            </w:pPr>
            <w:r>
              <w:rPr>
                <w:rFonts w:ascii="Calibri" w:eastAsia="Times New Roman" w:hAnsi="Calibri" w:cs="Calibri"/>
                <w:color w:val="000000"/>
              </w:rPr>
              <w:t>Usually less than 2 days to see prescriber (there are 3 prescribers)</w:t>
            </w:r>
          </w:p>
        </w:tc>
      </w:tr>
      <w:tr w:rsidR="00CF3E02" w:rsidRPr="00B720D6" w:rsidTr="00CD796D">
        <w:trPr>
          <w:trHeight w:val="1322"/>
        </w:trPr>
        <w:tc>
          <w:tcPr>
            <w:tcW w:w="1728" w:type="dxa"/>
          </w:tcPr>
          <w:p w:rsidR="00CF3E02" w:rsidRPr="00B720D6" w:rsidRDefault="00CF3E02" w:rsidP="00831873">
            <w:r w:rsidRPr="002658B8">
              <w:t>The Root (Formerly Hartford Dispensary)</w:t>
            </w:r>
          </w:p>
        </w:tc>
        <w:tc>
          <w:tcPr>
            <w:tcW w:w="1641" w:type="dxa"/>
          </w:tcPr>
          <w:p w:rsidR="00CF3E02" w:rsidRDefault="00CF3E02" w:rsidP="00FC438C">
            <w:r>
              <w:t>140 Commercial B</w:t>
            </w:r>
            <w:r w:rsidR="00F03A4B">
              <w:t>oulevard</w:t>
            </w:r>
          </w:p>
          <w:p w:rsidR="00CF3E02" w:rsidRPr="00B720D6" w:rsidRDefault="00DC23E4" w:rsidP="00DC23E4">
            <w:r>
              <w:t>Torrington</w:t>
            </w:r>
          </w:p>
        </w:tc>
        <w:tc>
          <w:tcPr>
            <w:tcW w:w="1936" w:type="dxa"/>
            <w:gridSpan w:val="2"/>
          </w:tcPr>
          <w:p w:rsidR="00CF3E02" w:rsidRPr="00B720D6" w:rsidRDefault="00CF3E02" w:rsidP="00831873">
            <w:r>
              <w:t xml:space="preserve">(860) </w:t>
            </w:r>
            <w:r w:rsidRPr="00A65601">
              <w:t>482-8796</w:t>
            </w:r>
          </w:p>
        </w:tc>
        <w:tc>
          <w:tcPr>
            <w:tcW w:w="1710" w:type="dxa"/>
          </w:tcPr>
          <w:p w:rsidR="00CF3E02" w:rsidRDefault="00676F3B" w:rsidP="00831873">
            <w:r>
              <w:t>Methadone;</w:t>
            </w:r>
          </w:p>
          <w:p w:rsidR="00676F3B" w:rsidRDefault="00676F3B" w:rsidP="00831873">
            <w:r>
              <w:t xml:space="preserve">Suboxone; </w:t>
            </w:r>
          </w:p>
          <w:p w:rsidR="00676F3B" w:rsidRPr="00B720D6" w:rsidRDefault="00676F3B" w:rsidP="00831873">
            <w:r>
              <w:t>Vivitrol</w:t>
            </w:r>
          </w:p>
        </w:tc>
        <w:tc>
          <w:tcPr>
            <w:tcW w:w="4020" w:type="dxa"/>
            <w:gridSpan w:val="2"/>
          </w:tcPr>
          <w:p w:rsidR="00CF3E02" w:rsidRDefault="00CF3E02" w:rsidP="00831873">
            <w:r>
              <w:t>Dana Bridges</w:t>
            </w:r>
          </w:p>
          <w:p w:rsidR="00CF3E02" w:rsidRDefault="008C4469" w:rsidP="00831873">
            <w:pPr>
              <w:rPr>
                <w:rStyle w:val="Hyperlink"/>
              </w:rPr>
            </w:pPr>
            <w:hyperlink r:id="rId15" w:history="1">
              <w:r w:rsidR="00CF3E02" w:rsidRPr="0076278E">
                <w:rPr>
                  <w:rStyle w:val="Hyperlink"/>
                </w:rPr>
                <w:t>dana.bridges@rootcenter.org</w:t>
              </w:r>
            </w:hyperlink>
          </w:p>
          <w:p w:rsidR="00D2549D" w:rsidRDefault="00D2549D" w:rsidP="00831873">
            <w:pPr>
              <w:rPr>
                <w:rFonts w:eastAsia="Times New Roman"/>
                <w:sz w:val="24"/>
                <w:szCs w:val="24"/>
              </w:rPr>
            </w:pPr>
            <w:r>
              <w:rPr>
                <w:rFonts w:eastAsia="Times New Roman"/>
                <w:sz w:val="24"/>
                <w:szCs w:val="24"/>
              </w:rPr>
              <w:t>Annemarie Lucas</w:t>
            </w:r>
          </w:p>
          <w:p w:rsidR="00D2549D" w:rsidRDefault="008C4469" w:rsidP="00831873">
            <w:pPr>
              <w:rPr>
                <w:rFonts w:eastAsia="Times New Roman"/>
                <w:sz w:val="24"/>
                <w:szCs w:val="24"/>
              </w:rPr>
            </w:pPr>
            <w:hyperlink r:id="rId16" w:history="1">
              <w:r w:rsidR="00D2549D">
                <w:rPr>
                  <w:rStyle w:val="Hyperlink"/>
                  <w:rFonts w:eastAsia="Times New Roman"/>
                  <w:sz w:val="24"/>
                  <w:szCs w:val="24"/>
                </w:rPr>
                <w:t>Annemarie.lucas@rootcenter.org</w:t>
              </w:r>
            </w:hyperlink>
            <w:r w:rsidR="00D2549D">
              <w:rPr>
                <w:rFonts w:eastAsia="Times New Roman"/>
                <w:sz w:val="24"/>
                <w:szCs w:val="24"/>
              </w:rPr>
              <w:t xml:space="preserve"> </w:t>
            </w:r>
          </w:p>
          <w:p w:rsidR="00D2549D" w:rsidRDefault="00D2549D" w:rsidP="00831873">
            <w:pPr>
              <w:rPr>
                <w:rFonts w:eastAsia="Times New Roman"/>
                <w:sz w:val="24"/>
                <w:szCs w:val="24"/>
              </w:rPr>
            </w:pPr>
            <w:r>
              <w:rPr>
                <w:rFonts w:eastAsia="Times New Roman"/>
                <w:sz w:val="24"/>
                <w:szCs w:val="24"/>
              </w:rPr>
              <w:t>Lou Hurwitz</w:t>
            </w:r>
          </w:p>
          <w:p w:rsidR="00D2549D" w:rsidRDefault="008C4469" w:rsidP="00831873">
            <w:hyperlink r:id="rId17" w:history="1">
              <w:r w:rsidR="00D2549D">
                <w:rPr>
                  <w:rStyle w:val="Hyperlink"/>
                  <w:rFonts w:eastAsia="Times New Roman"/>
                  <w:sz w:val="24"/>
                  <w:szCs w:val="24"/>
                </w:rPr>
                <w:t>Louis.Hurwitz@rootcenter.org</w:t>
              </w:r>
            </w:hyperlink>
          </w:p>
          <w:p w:rsidR="00CF3E02" w:rsidRDefault="00CF3E02" w:rsidP="00831873"/>
        </w:tc>
        <w:tc>
          <w:tcPr>
            <w:tcW w:w="3180" w:type="dxa"/>
            <w:gridSpan w:val="2"/>
          </w:tcPr>
          <w:p w:rsidR="00CF3E02" w:rsidRDefault="00CF3E02" w:rsidP="00FB2E9A">
            <w:pPr>
              <w:jc w:val="both"/>
              <w:rPr>
                <w:rFonts w:ascii="Calibri" w:eastAsia="Times New Roman" w:hAnsi="Calibri" w:cs="Calibri"/>
                <w:color w:val="000000"/>
              </w:rPr>
            </w:pPr>
            <w:r w:rsidRPr="00CF3E02">
              <w:rPr>
                <w:rFonts w:ascii="Calibri" w:eastAsia="Times New Roman" w:hAnsi="Calibri" w:cs="Calibri"/>
                <w:color w:val="000000"/>
              </w:rPr>
              <w:t>Adult and Teen MAT</w:t>
            </w:r>
          </w:p>
          <w:p w:rsidR="00FB2E9A" w:rsidRDefault="00FB2E9A" w:rsidP="00FB2E9A">
            <w:pPr>
              <w:jc w:val="both"/>
              <w:rPr>
                <w:rFonts w:ascii="Calibri" w:eastAsia="Times New Roman" w:hAnsi="Calibri" w:cs="Calibri"/>
                <w:color w:val="000000"/>
              </w:rPr>
            </w:pPr>
            <w:r>
              <w:rPr>
                <w:rFonts w:ascii="Calibri" w:eastAsia="Times New Roman" w:hAnsi="Calibri" w:cs="Calibri"/>
                <w:color w:val="000000"/>
              </w:rPr>
              <w:t xml:space="preserve">Individuals can call clinic directly at (860) 482-8796 for central admissions process.  Depending on the line of service that someone is looking for, the assessment </w:t>
            </w:r>
            <w:proofErr w:type="gramStart"/>
            <w:r>
              <w:rPr>
                <w:rFonts w:ascii="Calibri" w:eastAsia="Times New Roman" w:hAnsi="Calibri" w:cs="Calibri"/>
                <w:color w:val="000000"/>
              </w:rPr>
              <w:t>may be completed</w:t>
            </w:r>
            <w:proofErr w:type="gramEnd"/>
            <w:r>
              <w:rPr>
                <w:rFonts w:ascii="Calibri" w:eastAsia="Times New Roman" w:hAnsi="Calibri" w:cs="Calibri"/>
                <w:color w:val="000000"/>
              </w:rPr>
              <w:t xml:space="preserve"> via telehealth.</w:t>
            </w:r>
            <w:r w:rsidR="00490C1A">
              <w:rPr>
                <w:rFonts w:ascii="Calibri" w:eastAsia="Times New Roman" w:hAnsi="Calibri" w:cs="Calibri"/>
                <w:color w:val="000000"/>
              </w:rPr>
              <w:t xml:space="preserve">  Intakes </w:t>
            </w:r>
            <w:proofErr w:type="gramStart"/>
            <w:r w:rsidR="00490C1A">
              <w:rPr>
                <w:rFonts w:ascii="Calibri" w:eastAsia="Times New Roman" w:hAnsi="Calibri" w:cs="Calibri"/>
                <w:color w:val="000000"/>
              </w:rPr>
              <w:t>are done</w:t>
            </w:r>
            <w:proofErr w:type="gramEnd"/>
            <w:r w:rsidR="00490C1A">
              <w:rPr>
                <w:rFonts w:ascii="Calibri" w:eastAsia="Times New Roman" w:hAnsi="Calibri" w:cs="Calibri"/>
                <w:color w:val="000000"/>
              </w:rPr>
              <w:t xml:space="preserve"> at the Hartford site.</w:t>
            </w:r>
          </w:p>
          <w:p w:rsidR="009F0548" w:rsidRDefault="009F0548" w:rsidP="009F0548">
            <w:pPr>
              <w:jc w:val="both"/>
              <w:rPr>
                <w:rFonts w:ascii="Calibri" w:eastAsia="Times New Roman" w:hAnsi="Calibri" w:cs="Calibri"/>
                <w:color w:val="000000"/>
              </w:rPr>
            </w:pPr>
            <w:r>
              <w:rPr>
                <w:rFonts w:ascii="Calibri" w:eastAsia="Times New Roman" w:hAnsi="Calibri" w:cs="Calibri"/>
                <w:color w:val="000000"/>
              </w:rPr>
              <w:t>Currently offering same day and/or next day inductions for MAT.  Prescribers are available starting at 6:30 a.m.</w:t>
            </w:r>
          </w:p>
        </w:tc>
      </w:tr>
      <w:tr w:rsidR="00CF3E02" w:rsidRPr="00B720D6" w:rsidTr="00CD796D">
        <w:tc>
          <w:tcPr>
            <w:tcW w:w="1728" w:type="dxa"/>
          </w:tcPr>
          <w:p w:rsidR="00CF3E02" w:rsidRPr="00B720D6" w:rsidRDefault="00CF3E02" w:rsidP="00831873">
            <w:r w:rsidRPr="002658B8">
              <w:t xml:space="preserve">Western Connecticut </w:t>
            </w:r>
            <w:r w:rsidRPr="002658B8">
              <w:lastRenderedPageBreak/>
              <w:t>Mental Health Network</w:t>
            </w:r>
          </w:p>
        </w:tc>
        <w:tc>
          <w:tcPr>
            <w:tcW w:w="1641" w:type="dxa"/>
          </w:tcPr>
          <w:p w:rsidR="00CF3E02" w:rsidRPr="00B720D6" w:rsidRDefault="00CF3E02" w:rsidP="00831873">
            <w:r w:rsidRPr="00FC438C">
              <w:lastRenderedPageBreak/>
              <w:t>249 Winsted R</w:t>
            </w:r>
            <w:r w:rsidR="00DC23E4">
              <w:t xml:space="preserve">oad, 3rd </w:t>
            </w:r>
            <w:r w:rsidR="00DC23E4">
              <w:lastRenderedPageBreak/>
              <w:t xml:space="preserve">Floor, Torrington </w:t>
            </w:r>
          </w:p>
        </w:tc>
        <w:tc>
          <w:tcPr>
            <w:tcW w:w="1936" w:type="dxa"/>
            <w:gridSpan w:val="2"/>
          </w:tcPr>
          <w:p w:rsidR="00CF3E02" w:rsidRPr="00B720D6" w:rsidRDefault="00CF3E02" w:rsidP="00831873">
            <w:r>
              <w:lastRenderedPageBreak/>
              <w:t xml:space="preserve">(860) </w:t>
            </w:r>
            <w:r w:rsidRPr="00A65601">
              <w:t>496-3700</w:t>
            </w:r>
          </w:p>
        </w:tc>
        <w:tc>
          <w:tcPr>
            <w:tcW w:w="1710" w:type="dxa"/>
          </w:tcPr>
          <w:p w:rsidR="000333A4" w:rsidRDefault="000333A4" w:rsidP="000333A4">
            <w:pPr>
              <w:rPr>
                <w:u w:val="single"/>
              </w:rPr>
            </w:pPr>
            <w:r>
              <w:rPr>
                <w:u w:val="single"/>
              </w:rPr>
              <w:t>Alcohol</w:t>
            </w:r>
          </w:p>
          <w:p w:rsidR="000333A4" w:rsidRDefault="000333A4" w:rsidP="000333A4">
            <w:r>
              <w:t>   Naltrexone</w:t>
            </w:r>
          </w:p>
          <w:p w:rsidR="000333A4" w:rsidRDefault="000333A4" w:rsidP="000333A4">
            <w:r>
              <w:t xml:space="preserve">   </w:t>
            </w:r>
            <w:proofErr w:type="spellStart"/>
            <w:r>
              <w:t>Campral</w:t>
            </w:r>
            <w:proofErr w:type="spellEnd"/>
          </w:p>
          <w:p w:rsidR="000333A4" w:rsidRDefault="000333A4" w:rsidP="000333A4">
            <w:r>
              <w:lastRenderedPageBreak/>
              <w:t>   Antabuse</w:t>
            </w:r>
          </w:p>
          <w:p w:rsidR="000333A4" w:rsidRDefault="000333A4" w:rsidP="000333A4">
            <w:pPr>
              <w:rPr>
                <w:u w:val="single"/>
              </w:rPr>
            </w:pPr>
            <w:r>
              <w:rPr>
                <w:u w:val="single"/>
              </w:rPr>
              <w:t>Opiates</w:t>
            </w:r>
          </w:p>
          <w:p w:rsidR="000333A4" w:rsidRDefault="000333A4" w:rsidP="000333A4">
            <w:r>
              <w:t xml:space="preserve">  Naltrexone </w:t>
            </w:r>
          </w:p>
          <w:p w:rsidR="000333A4" w:rsidRDefault="000333A4" w:rsidP="000333A4">
            <w:r>
              <w:t>  Suboxone</w:t>
            </w:r>
          </w:p>
          <w:p w:rsidR="00CF3E02" w:rsidRPr="00B720D6" w:rsidRDefault="000333A4" w:rsidP="000333A4">
            <w:r>
              <w:t xml:space="preserve">  </w:t>
            </w:r>
            <w:proofErr w:type="spellStart"/>
            <w:r>
              <w:t>Sublocade</w:t>
            </w:r>
            <w:proofErr w:type="spellEnd"/>
            <w:r>
              <w:t xml:space="preserve"> </w:t>
            </w:r>
          </w:p>
        </w:tc>
        <w:tc>
          <w:tcPr>
            <w:tcW w:w="4020" w:type="dxa"/>
            <w:gridSpan w:val="2"/>
          </w:tcPr>
          <w:p w:rsidR="009D57C6" w:rsidRDefault="009D57C6" w:rsidP="009D57C6">
            <w:r>
              <w:lastRenderedPageBreak/>
              <w:t xml:space="preserve">Marc </w:t>
            </w:r>
            <w:proofErr w:type="spellStart"/>
            <w:r>
              <w:t>Trivella</w:t>
            </w:r>
            <w:proofErr w:type="spellEnd"/>
          </w:p>
          <w:p w:rsidR="009D57C6" w:rsidRDefault="008C4469" w:rsidP="009D57C6">
            <w:hyperlink r:id="rId18" w:history="1">
              <w:r w:rsidR="009D57C6" w:rsidRPr="00017622">
                <w:rPr>
                  <w:rStyle w:val="Hyperlink"/>
                </w:rPr>
                <w:t>Marc.Trivella@ct.gov</w:t>
              </w:r>
            </w:hyperlink>
          </w:p>
          <w:p w:rsidR="009D57C6" w:rsidRDefault="009D57C6" w:rsidP="009D57C6">
            <w:r>
              <w:t>(860)496-3739</w:t>
            </w:r>
          </w:p>
          <w:p w:rsidR="009D57C6" w:rsidRDefault="009D57C6" w:rsidP="009D57C6">
            <w:r>
              <w:lastRenderedPageBreak/>
              <w:t>OR</w:t>
            </w:r>
          </w:p>
          <w:p w:rsidR="009D57C6" w:rsidRDefault="009D57C6" w:rsidP="009D57C6">
            <w:r>
              <w:t>Access Center (8:00 a.m. – midnight)</w:t>
            </w:r>
          </w:p>
          <w:p w:rsidR="00767BD1" w:rsidRDefault="009D57C6" w:rsidP="009D57C6">
            <w:r>
              <w:t>(860) 482-1560</w:t>
            </w:r>
          </w:p>
        </w:tc>
        <w:tc>
          <w:tcPr>
            <w:tcW w:w="3180" w:type="dxa"/>
            <w:gridSpan w:val="2"/>
          </w:tcPr>
          <w:p w:rsidR="00CF3E02" w:rsidRDefault="00D12999" w:rsidP="00D12999">
            <w:pPr>
              <w:jc w:val="both"/>
              <w:rPr>
                <w:rFonts w:ascii="Calibri" w:eastAsia="Times New Roman" w:hAnsi="Calibri" w:cs="Calibri"/>
                <w:color w:val="000000"/>
              </w:rPr>
            </w:pPr>
            <w:proofErr w:type="gramStart"/>
            <w:r>
              <w:lastRenderedPageBreak/>
              <w:t>Generally</w:t>
            </w:r>
            <w:proofErr w:type="gramEnd"/>
            <w:r>
              <w:t xml:space="preserve"> new clients coming from the ED or Inpatient unit can be seen in 5 days but exceptions </w:t>
            </w:r>
            <w:r>
              <w:lastRenderedPageBreak/>
              <w:t xml:space="preserve">can be made to coordinate an appointment with the MD.  We do need to check if they meet the criteria for severe mental illness and through DSS that they </w:t>
            </w:r>
            <w:proofErr w:type="gramStart"/>
            <w:r>
              <w:t>are not being treated</w:t>
            </w:r>
            <w:proofErr w:type="gramEnd"/>
            <w:r>
              <w:t xml:space="preserve"> through another system.  We are usually the last option because our clients usually have no other insurance, are on Medicaid or Medicare with no secondary insurance.  </w:t>
            </w:r>
          </w:p>
        </w:tc>
      </w:tr>
      <w:tr w:rsidR="00CF3E02" w:rsidRPr="00B720D6" w:rsidTr="00CD796D">
        <w:trPr>
          <w:gridAfter w:val="1"/>
          <w:wAfter w:w="1188" w:type="dxa"/>
        </w:trPr>
        <w:tc>
          <w:tcPr>
            <w:tcW w:w="5074" w:type="dxa"/>
            <w:gridSpan w:val="3"/>
            <w:tcBorders>
              <w:right w:val="nil"/>
            </w:tcBorders>
          </w:tcPr>
          <w:p w:rsidR="00CF3E02" w:rsidRPr="00B720D6" w:rsidRDefault="00CF3E02" w:rsidP="00831873">
            <w:pPr>
              <w:rPr>
                <w:b/>
              </w:rPr>
            </w:pPr>
            <w:r w:rsidRPr="00B720D6">
              <w:rPr>
                <w:b/>
              </w:rPr>
              <w:lastRenderedPageBreak/>
              <w:t xml:space="preserve">STATEWIDE MAT RESOURCES </w:t>
            </w:r>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B720D6" w:rsidRDefault="00CF3E02" w:rsidP="00831873">
            <w:pPr>
              <w:rPr>
                <w:rFonts w:cstheme="minorHAnsi"/>
                <w:b/>
              </w:rPr>
            </w:pPr>
            <w:r w:rsidRPr="00B720D6">
              <w:rPr>
                <w:rFonts w:cstheme="minorHAnsi"/>
                <w:b/>
              </w:rPr>
              <w:t xml:space="preserve">DMHAS </w:t>
            </w:r>
          </w:p>
          <w:p w:rsidR="00CF3E02" w:rsidRPr="00B720D6" w:rsidRDefault="008C4469" w:rsidP="00831873">
            <w:pPr>
              <w:rPr>
                <w:rFonts w:cstheme="minorHAnsi"/>
                <w:b/>
              </w:rPr>
            </w:pPr>
            <w:hyperlink r:id="rId19" w:history="1">
              <w:r w:rsidR="00CF3E02" w:rsidRPr="00B720D6">
                <w:rPr>
                  <w:rStyle w:val="Hyperlink"/>
                  <w:rFonts w:cstheme="minorHAnsi"/>
                  <w:b/>
                </w:rPr>
                <w:t>https://portal.ct.gov/DMHAS/Programs-and-Services/Opioid-Treatment/Medication-Assisted-Treatment</w:t>
              </w:r>
            </w:hyperlink>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B720D6" w:rsidRDefault="008C4469" w:rsidP="00831873">
            <w:pPr>
              <w:rPr>
                <w:rFonts w:cstheme="minorHAnsi"/>
                <w:color w:val="000000" w:themeColor="text1"/>
              </w:rPr>
            </w:pPr>
            <w:hyperlink r:id="rId20" w:history="1">
              <w:r w:rsidR="00CF3E02" w:rsidRPr="00B720D6">
                <w:rPr>
                  <w:rStyle w:val="Hyperlink"/>
                  <w:rFonts w:cstheme="minorHAnsi"/>
                  <w:b/>
                  <w:bCs/>
                  <w:color w:val="000000" w:themeColor="text1"/>
                </w:rPr>
                <w:t>CT Behavioral Health Partnership (BHP) Medication Assisted Treatment Locator Map</w:t>
              </w:r>
            </w:hyperlink>
          </w:p>
          <w:p w:rsidR="00CF3E02" w:rsidRPr="00B720D6" w:rsidRDefault="008C4469" w:rsidP="00831873">
            <w:pPr>
              <w:rPr>
                <w:rFonts w:cstheme="minorHAnsi"/>
                <w:b/>
              </w:rPr>
            </w:pPr>
            <w:hyperlink r:id="rId21" w:history="1">
              <w:r w:rsidR="00CF3E02" w:rsidRPr="00B720D6">
                <w:rPr>
                  <w:rStyle w:val="Hyperlink"/>
                  <w:rFonts w:cstheme="minorHAnsi"/>
                  <w:b/>
                </w:rPr>
                <w:t>https://www.ctbhp.com/medication-assisted-treatment.html</w:t>
              </w:r>
            </w:hyperlink>
          </w:p>
          <w:p w:rsidR="00CF3E02" w:rsidRPr="00B720D6" w:rsidRDefault="00CF3E02" w:rsidP="00831873">
            <w:pPr>
              <w:rPr>
                <w:rFonts w:cstheme="minorHAnsi"/>
                <w:b/>
              </w:rPr>
            </w:pPr>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B720D6" w:rsidRDefault="008C4469" w:rsidP="00831873">
            <w:pPr>
              <w:rPr>
                <w:rFonts w:cstheme="minorHAnsi"/>
                <w:color w:val="000000" w:themeColor="text1"/>
              </w:rPr>
            </w:pPr>
            <w:hyperlink r:id="rId22" w:tgtFrame="_blank" w:history="1">
              <w:r w:rsidR="00CF3E02" w:rsidRPr="00B720D6">
                <w:rPr>
                  <w:rStyle w:val="Hyperlink"/>
                  <w:rFonts w:cstheme="minorHAnsi"/>
                  <w:b/>
                  <w:bCs/>
                  <w:color w:val="000000" w:themeColor="text1"/>
                </w:rPr>
                <w:t>Addiction Services Bed Availability Website</w:t>
              </w:r>
            </w:hyperlink>
          </w:p>
          <w:p w:rsidR="00CF3E02" w:rsidRPr="00B720D6" w:rsidRDefault="008C4469" w:rsidP="00831873">
            <w:pPr>
              <w:rPr>
                <w:rFonts w:cstheme="minorHAnsi"/>
                <w:b/>
              </w:rPr>
            </w:pPr>
            <w:hyperlink r:id="rId23" w:history="1">
              <w:r w:rsidR="00CF3E02" w:rsidRPr="00B720D6">
                <w:rPr>
                  <w:rStyle w:val="Hyperlink"/>
                  <w:rFonts w:cstheme="minorHAnsi"/>
                  <w:b/>
                </w:rPr>
                <w:t>https://www.ctaddictionservices.com</w:t>
              </w:r>
            </w:hyperlink>
          </w:p>
          <w:p w:rsidR="00CF3E02" w:rsidRPr="00B720D6" w:rsidRDefault="00CF3E02" w:rsidP="00831873">
            <w:pPr>
              <w:rPr>
                <w:rFonts w:cstheme="minorHAnsi"/>
                <w:b/>
              </w:rPr>
            </w:pPr>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B720D6" w:rsidRDefault="00CF3E02" w:rsidP="00831873">
            <w:pPr>
              <w:rPr>
                <w:rFonts w:cstheme="minorHAnsi"/>
                <w:b/>
              </w:rPr>
            </w:pPr>
            <w:proofErr w:type="spellStart"/>
            <w:r w:rsidRPr="00B720D6">
              <w:rPr>
                <w:rFonts w:cstheme="minorHAnsi"/>
                <w:b/>
              </w:rPr>
              <w:t>LiveLoud</w:t>
            </w:r>
            <w:proofErr w:type="spellEnd"/>
          </w:p>
          <w:p w:rsidR="00CF3E02" w:rsidRPr="00B720D6" w:rsidRDefault="008C4469" w:rsidP="00831873">
            <w:pPr>
              <w:rPr>
                <w:rFonts w:cstheme="minorHAnsi"/>
                <w:b/>
              </w:rPr>
            </w:pPr>
            <w:hyperlink r:id="rId24" w:history="1">
              <w:r w:rsidR="00CF3E02" w:rsidRPr="00B720D6">
                <w:rPr>
                  <w:rStyle w:val="Hyperlink"/>
                  <w:rFonts w:cstheme="minorHAnsi"/>
                  <w:b/>
                </w:rPr>
                <w:t>https://liveloud.org/</w:t>
              </w:r>
            </w:hyperlink>
          </w:p>
          <w:p w:rsidR="00CF3E02" w:rsidRPr="00B720D6" w:rsidRDefault="00CF3E02" w:rsidP="00831873">
            <w:pPr>
              <w:rPr>
                <w:rFonts w:cstheme="minorHAnsi"/>
                <w:b/>
              </w:rPr>
            </w:pPr>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B720D6" w:rsidRDefault="00CF3E02" w:rsidP="00831873">
            <w:pPr>
              <w:rPr>
                <w:rFonts w:cstheme="minorHAnsi"/>
                <w:b/>
              </w:rPr>
            </w:pPr>
            <w:r w:rsidRPr="00B720D6">
              <w:rPr>
                <w:rFonts w:cstheme="minorHAnsi"/>
                <w:b/>
              </w:rPr>
              <w:t>Naloxone + Overdose Response app</w:t>
            </w:r>
          </w:p>
          <w:p w:rsidR="00CF3E02" w:rsidRPr="00B720D6" w:rsidRDefault="00CF3E02" w:rsidP="00831873">
            <w:pPr>
              <w:rPr>
                <w:rFonts w:cstheme="minorHAnsi"/>
                <w:b/>
              </w:rPr>
            </w:pPr>
            <w:r w:rsidRPr="00B720D6">
              <w:rPr>
                <w:rFonts w:cstheme="minorHAnsi"/>
                <w:b/>
              </w:rPr>
              <w:t>https://egov.ct.gov/norasaves/#/HomePage</w:t>
            </w:r>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B720D6" w:rsidRDefault="00CF3E02" w:rsidP="00831873">
            <w:pPr>
              <w:rPr>
                <w:rFonts w:cstheme="minorHAnsi"/>
                <w:b/>
              </w:rPr>
            </w:pPr>
            <w:r w:rsidRPr="00B720D6">
              <w:rPr>
                <w:rFonts w:cstheme="minorHAnsi"/>
                <w:b/>
              </w:rPr>
              <w:t>Overdose Education and Naloxone Distribution Program</w:t>
            </w:r>
          </w:p>
          <w:p w:rsidR="00CF3E02" w:rsidRPr="00B720D6" w:rsidRDefault="008C4469" w:rsidP="00831873">
            <w:pPr>
              <w:rPr>
                <w:rFonts w:cstheme="minorHAnsi"/>
                <w:b/>
              </w:rPr>
            </w:pPr>
            <w:hyperlink r:id="rId25" w:history="1">
              <w:r w:rsidR="00CF3E02" w:rsidRPr="00285B6C">
                <w:rPr>
                  <w:rStyle w:val="Hyperlink"/>
                  <w:rFonts w:cstheme="minorHAnsi"/>
                  <w:b/>
                </w:rPr>
                <w:t>https://portal.ct.gov/DPH/Health-Education-Management--Surveillance/The-Office-of-Injury-Prevention/Overdose-Education-and-Naloxone-Distribution-Program</w:t>
              </w:r>
            </w:hyperlink>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B720D6" w:rsidRDefault="00CF3E02" w:rsidP="00831873">
            <w:pPr>
              <w:rPr>
                <w:rFonts w:cstheme="minorHAnsi"/>
                <w:b/>
              </w:rPr>
            </w:pPr>
            <w:r>
              <w:rPr>
                <w:rFonts w:cstheme="minorHAnsi"/>
                <w:b/>
              </w:rPr>
              <w:t>OTHER</w:t>
            </w:r>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B720D6" w:rsidRDefault="00CF3E02" w:rsidP="00831873">
            <w:pPr>
              <w:rPr>
                <w:rFonts w:cstheme="minorHAnsi"/>
                <w:b/>
              </w:rPr>
            </w:pPr>
            <w:r w:rsidRPr="00795841">
              <w:rPr>
                <w:rFonts w:cstheme="minorHAnsi"/>
                <w:b/>
              </w:rPr>
              <w:t xml:space="preserve">PCSS Resources and presentations can be found at </w:t>
            </w:r>
            <w:hyperlink r:id="rId26" w:history="1">
              <w:r w:rsidRPr="00DD6306">
                <w:rPr>
                  <w:rStyle w:val="Hyperlink"/>
                  <w:rFonts w:cstheme="minorHAnsi"/>
                  <w:b/>
                </w:rPr>
                <w:t>https://pcssnow.org/?s=COVID</w:t>
              </w:r>
            </w:hyperlink>
            <w:r>
              <w:rPr>
                <w:rFonts w:cstheme="minorHAnsi"/>
                <w:b/>
              </w:rPr>
              <w:t xml:space="preserve"> </w:t>
            </w:r>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Pr="00795841" w:rsidRDefault="00CF3E02" w:rsidP="00831873">
            <w:pPr>
              <w:rPr>
                <w:rFonts w:cstheme="minorHAnsi"/>
                <w:b/>
              </w:rPr>
            </w:pPr>
            <w:r>
              <w:rPr>
                <w:rFonts w:cstheme="minorHAnsi"/>
                <w:b/>
              </w:rPr>
              <w:lastRenderedPageBreak/>
              <w:t>On Line Trainings</w:t>
            </w:r>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r w:rsidR="00CF3E02" w:rsidRPr="00B720D6" w:rsidTr="00CD796D">
        <w:trPr>
          <w:gridAfter w:val="1"/>
          <w:wAfter w:w="1188" w:type="dxa"/>
        </w:trPr>
        <w:tc>
          <w:tcPr>
            <w:tcW w:w="5074" w:type="dxa"/>
            <w:gridSpan w:val="3"/>
            <w:tcBorders>
              <w:right w:val="nil"/>
            </w:tcBorders>
          </w:tcPr>
          <w:p w:rsidR="00CF3E02" w:rsidRDefault="00CF3E02" w:rsidP="00831873">
            <w:pPr>
              <w:rPr>
                <w:rFonts w:cstheme="minorHAnsi"/>
                <w:b/>
              </w:rPr>
            </w:pPr>
            <w:r w:rsidRPr="00795841">
              <w:rPr>
                <w:rFonts w:cstheme="minorHAnsi"/>
                <w:b/>
              </w:rPr>
              <w:t xml:space="preserve">• Supporting Providers After Overdose Death: </w:t>
            </w:r>
            <w:hyperlink r:id="rId27" w:history="1">
              <w:r w:rsidRPr="00DD6306">
                <w:rPr>
                  <w:rStyle w:val="Hyperlink"/>
                  <w:rFonts w:cstheme="minorHAnsi"/>
                  <w:b/>
                </w:rPr>
                <w:t>https://learning.pcssnow.org/p/SupportingProviders</w:t>
              </w:r>
            </w:hyperlink>
          </w:p>
          <w:p w:rsidR="00CF3E02" w:rsidRDefault="00CF3E02" w:rsidP="00831873">
            <w:pPr>
              <w:rPr>
                <w:rFonts w:cstheme="minorHAnsi"/>
                <w:b/>
              </w:rPr>
            </w:pPr>
            <w:r w:rsidRPr="00795841">
              <w:rPr>
                <w:rFonts w:cstheme="minorHAnsi"/>
                <w:b/>
              </w:rPr>
              <w:t xml:space="preserve">• Grief and Managing an Overdose Death: </w:t>
            </w:r>
            <w:hyperlink r:id="rId28" w:history="1">
              <w:r w:rsidRPr="00DD6306">
                <w:rPr>
                  <w:rStyle w:val="Hyperlink"/>
                  <w:rFonts w:cstheme="minorHAnsi"/>
                  <w:b/>
                </w:rPr>
                <w:t>https://pcssnow.org/event/grief-and-managing-an-overdose-death/</w:t>
              </w:r>
            </w:hyperlink>
            <w:r w:rsidRPr="00795841">
              <w:rPr>
                <w:rFonts w:cstheme="minorHAnsi"/>
                <w:b/>
              </w:rPr>
              <w:t xml:space="preserve"> </w:t>
            </w:r>
          </w:p>
          <w:p w:rsidR="00CF3E02" w:rsidRDefault="00CF3E02" w:rsidP="00831873">
            <w:pPr>
              <w:rPr>
                <w:rFonts w:cstheme="minorHAnsi"/>
                <w:b/>
              </w:rPr>
            </w:pPr>
            <w:r w:rsidRPr="00795841">
              <w:rPr>
                <w:rFonts w:cstheme="minorHAnsi"/>
                <w:b/>
              </w:rPr>
              <w:t xml:space="preserve">• Related resource document: </w:t>
            </w:r>
            <w:hyperlink r:id="rId29" w:history="1">
              <w:r w:rsidRPr="00DD6306">
                <w:rPr>
                  <w:rStyle w:val="Hyperlink"/>
                  <w:rFonts w:cstheme="minorHAnsi"/>
                  <w:b/>
                </w:rPr>
                <w:t>https://pcssnow.org/resource/grief-and-overdose-death-2/</w:t>
              </w:r>
            </w:hyperlink>
          </w:p>
          <w:p w:rsidR="00CF3E02" w:rsidRDefault="00CF3E02" w:rsidP="00831873">
            <w:pPr>
              <w:rPr>
                <w:rFonts w:cstheme="minorHAnsi"/>
                <w:b/>
              </w:rPr>
            </w:pPr>
            <w:r w:rsidRPr="00795841">
              <w:rPr>
                <w:rFonts w:cstheme="minorHAnsi"/>
                <w:b/>
              </w:rPr>
              <w:t xml:space="preserve">• Young adult seeking treatment after overdosing: </w:t>
            </w:r>
            <w:hyperlink r:id="rId30" w:history="1">
              <w:r w:rsidRPr="00DD6306">
                <w:rPr>
                  <w:rStyle w:val="Hyperlink"/>
                  <w:rFonts w:cstheme="minorHAnsi"/>
                  <w:b/>
                </w:rPr>
                <w:t>https://pcssnow.org/education-training/trainingcourses/teenager-seeking-treatment-after-overdosing-part-1/</w:t>
              </w:r>
            </w:hyperlink>
            <w:r w:rsidRPr="00795841">
              <w:rPr>
                <w:rFonts w:cstheme="minorHAnsi"/>
                <w:b/>
              </w:rPr>
              <w:t xml:space="preserve"> </w:t>
            </w:r>
          </w:p>
          <w:p w:rsidR="00CF3E02" w:rsidRDefault="00CF3E02" w:rsidP="00831873">
            <w:pPr>
              <w:rPr>
                <w:rFonts w:cstheme="minorHAnsi"/>
                <w:b/>
              </w:rPr>
            </w:pPr>
            <w:r w:rsidRPr="00795841">
              <w:rPr>
                <w:rFonts w:cstheme="minorHAnsi"/>
                <w:b/>
              </w:rPr>
              <w:t xml:space="preserve">• Partnering with Pharmacists: Naloxone Prescribing and Dispensing to Prevent Overdose Deaths: </w:t>
            </w:r>
            <w:hyperlink r:id="rId31" w:history="1">
              <w:r w:rsidRPr="00DD6306">
                <w:rPr>
                  <w:rStyle w:val="Hyperlink"/>
                  <w:rFonts w:cstheme="minorHAnsi"/>
                  <w:b/>
                </w:rPr>
                <w:t>https://pcssnow.org/event/partnering-with-pharmacists-naloxone-prescribing-and-dispensing-to-preventoverdose-deaths-aoaam/</w:t>
              </w:r>
            </w:hyperlink>
          </w:p>
          <w:p w:rsidR="00CF3E02" w:rsidRDefault="00CF3E02" w:rsidP="00831873">
            <w:pPr>
              <w:rPr>
                <w:rFonts w:cstheme="minorHAnsi"/>
                <w:b/>
              </w:rPr>
            </w:pPr>
            <w:r w:rsidRPr="00795841">
              <w:rPr>
                <w:rFonts w:cstheme="minorHAnsi"/>
                <w:b/>
              </w:rPr>
              <w:t xml:space="preserve">  • Stress, Relaxation, and Mindful Breathing: A Primer: </w:t>
            </w:r>
            <w:hyperlink r:id="rId32" w:history="1">
              <w:r w:rsidRPr="00DD6306">
                <w:rPr>
                  <w:rStyle w:val="Hyperlink"/>
                  <w:rFonts w:cstheme="minorHAnsi"/>
                  <w:b/>
                </w:rPr>
                <w:t>https://pcssnow.org/education-training/training-courses/9stress-relaxation-mindful-breathing-primer/Checklist</w:t>
              </w:r>
            </w:hyperlink>
          </w:p>
        </w:tc>
        <w:tc>
          <w:tcPr>
            <w:tcW w:w="2009" w:type="dxa"/>
            <w:gridSpan w:val="3"/>
            <w:tcBorders>
              <w:left w:val="nil"/>
              <w:right w:val="nil"/>
            </w:tcBorders>
          </w:tcPr>
          <w:p w:rsidR="00CF3E02" w:rsidRPr="00B720D6" w:rsidRDefault="00CF3E02" w:rsidP="00831873"/>
        </w:tc>
        <w:tc>
          <w:tcPr>
            <w:tcW w:w="3952" w:type="dxa"/>
            <w:tcBorders>
              <w:left w:val="nil"/>
              <w:right w:val="nil"/>
            </w:tcBorders>
          </w:tcPr>
          <w:p w:rsidR="00CF3E02" w:rsidRPr="00B720D6" w:rsidRDefault="00CF3E02" w:rsidP="00831873"/>
        </w:tc>
        <w:tc>
          <w:tcPr>
            <w:tcW w:w="1992" w:type="dxa"/>
            <w:tcBorders>
              <w:left w:val="nil"/>
              <w:right w:val="nil"/>
            </w:tcBorders>
          </w:tcPr>
          <w:p w:rsidR="00CF3E02" w:rsidRPr="00B720D6" w:rsidRDefault="00CF3E02" w:rsidP="00831873"/>
        </w:tc>
      </w:tr>
    </w:tbl>
    <w:p w:rsidR="00D6112D" w:rsidRDefault="00D6112D" w:rsidP="00D6112D"/>
    <w:p w:rsidR="000D65E4" w:rsidRDefault="000D65E4"/>
    <w:sectPr w:rsidR="000D65E4" w:rsidSect="00201A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C6F79"/>
    <w:multiLevelType w:val="hybridMultilevel"/>
    <w:tmpl w:val="E3722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ED64C19"/>
    <w:multiLevelType w:val="hybridMultilevel"/>
    <w:tmpl w:val="30B85B92"/>
    <w:lvl w:ilvl="0" w:tplc="67EA0CE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E96183"/>
    <w:multiLevelType w:val="hybridMultilevel"/>
    <w:tmpl w:val="542C8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NzU2NjE0NLGwtLRQ0lEKTi0uzszPAykwrgUALYj/4ywAAAA="/>
  </w:docVars>
  <w:rsids>
    <w:rsidRoot w:val="004253DE"/>
    <w:rsid w:val="000333A4"/>
    <w:rsid w:val="0004325D"/>
    <w:rsid w:val="000642DF"/>
    <w:rsid w:val="00083E5E"/>
    <w:rsid w:val="0009205C"/>
    <w:rsid w:val="00095845"/>
    <w:rsid w:val="000B7387"/>
    <w:rsid w:val="000D65E4"/>
    <w:rsid w:val="0010026F"/>
    <w:rsid w:val="00107A6E"/>
    <w:rsid w:val="00114B09"/>
    <w:rsid w:val="00177D92"/>
    <w:rsid w:val="001844C3"/>
    <w:rsid w:val="001908D7"/>
    <w:rsid w:val="001A1807"/>
    <w:rsid w:val="001A5570"/>
    <w:rsid w:val="001D22BC"/>
    <w:rsid w:val="001D2A0A"/>
    <w:rsid w:val="001D306B"/>
    <w:rsid w:val="001F0866"/>
    <w:rsid w:val="00201ACE"/>
    <w:rsid w:val="00220C31"/>
    <w:rsid w:val="002363E9"/>
    <w:rsid w:val="002465D7"/>
    <w:rsid w:val="00263AA6"/>
    <w:rsid w:val="00264182"/>
    <w:rsid w:val="002658B8"/>
    <w:rsid w:val="00294079"/>
    <w:rsid w:val="002A1356"/>
    <w:rsid w:val="002B79FC"/>
    <w:rsid w:val="002D629A"/>
    <w:rsid w:val="00303614"/>
    <w:rsid w:val="0031013E"/>
    <w:rsid w:val="00311E2F"/>
    <w:rsid w:val="0033347B"/>
    <w:rsid w:val="00344AEE"/>
    <w:rsid w:val="00345754"/>
    <w:rsid w:val="00365FF7"/>
    <w:rsid w:val="0037353F"/>
    <w:rsid w:val="00391530"/>
    <w:rsid w:val="0039439B"/>
    <w:rsid w:val="003950D7"/>
    <w:rsid w:val="003B5E59"/>
    <w:rsid w:val="003B66C9"/>
    <w:rsid w:val="00407DA5"/>
    <w:rsid w:val="004253DE"/>
    <w:rsid w:val="0042606C"/>
    <w:rsid w:val="004509F0"/>
    <w:rsid w:val="00471268"/>
    <w:rsid w:val="004730DA"/>
    <w:rsid w:val="00490C1A"/>
    <w:rsid w:val="00494DFE"/>
    <w:rsid w:val="004B6F49"/>
    <w:rsid w:val="004D472C"/>
    <w:rsid w:val="004F0DEC"/>
    <w:rsid w:val="004F5CF3"/>
    <w:rsid w:val="00511798"/>
    <w:rsid w:val="005171E4"/>
    <w:rsid w:val="00550F67"/>
    <w:rsid w:val="00560A23"/>
    <w:rsid w:val="005A417A"/>
    <w:rsid w:val="005A6123"/>
    <w:rsid w:val="005D3EF4"/>
    <w:rsid w:val="005D750D"/>
    <w:rsid w:val="00676F3B"/>
    <w:rsid w:val="006771F2"/>
    <w:rsid w:val="006808ED"/>
    <w:rsid w:val="006877AD"/>
    <w:rsid w:val="006917F7"/>
    <w:rsid w:val="006A26FD"/>
    <w:rsid w:val="006B160A"/>
    <w:rsid w:val="006B42BD"/>
    <w:rsid w:val="006B5018"/>
    <w:rsid w:val="006C351B"/>
    <w:rsid w:val="006C399A"/>
    <w:rsid w:val="006C522A"/>
    <w:rsid w:val="006C6C63"/>
    <w:rsid w:val="006E3ABB"/>
    <w:rsid w:val="00732336"/>
    <w:rsid w:val="00746DE2"/>
    <w:rsid w:val="00767BD1"/>
    <w:rsid w:val="00775A0B"/>
    <w:rsid w:val="00791775"/>
    <w:rsid w:val="00822577"/>
    <w:rsid w:val="00831873"/>
    <w:rsid w:val="00855EC3"/>
    <w:rsid w:val="00897724"/>
    <w:rsid w:val="008C0BC9"/>
    <w:rsid w:val="008C1B31"/>
    <w:rsid w:val="008C4469"/>
    <w:rsid w:val="008E199F"/>
    <w:rsid w:val="008F6472"/>
    <w:rsid w:val="00915941"/>
    <w:rsid w:val="00926B56"/>
    <w:rsid w:val="00934B1E"/>
    <w:rsid w:val="00957870"/>
    <w:rsid w:val="00987057"/>
    <w:rsid w:val="009D0442"/>
    <w:rsid w:val="009D57C6"/>
    <w:rsid w:val="009E06A6"/>
    <w:rsid w:val="009F0548"/>
    <w:rsid w:val="009F2EB3"/>
    <w:rsid w:val="00A11900"/>
    <w:rsid w:val="00A32580"/>
    <w:rsid w:val="00A41783"/>
    <w:rsid w:val="00A65601"/>
    <w:rsid w:val="00A660AC"/>
    <w:rsid w:val="00A707D3"/>
    <w:rsid w:val="00A7798D"/>
    <w:rsid w:val="00A93F0C"/>
    <w:rsid w:val="00AD4EAB"/>
    <w:rsid w:val="00AD71A9"/>
    <w:rsid w:val="00AE0A02"/>
    <w:rsid w:val="00B046F9"/>
    <w:rsid w:val="00B858EC"/>
    <w:rsid w:val="00B90EAC"/>
    <w:rsid w:val="00B96100"/>
    <w:rsid w:val="00BA01F1"/>
    <w:rsid w:val="00BC2559"/>
    <w:rsid w:val="00BE1887"/>
    <w:rsid w:val="00C37168"/>
    <w:rsid w:val="00C653DD"/>
    <w:rsid w:val="00C737A2"/>
    <w:rsid w:val="00C75C57"/>
    <w:rsid w:val="00C90B3E"/>
    <w:rsid w:val="00CC448D"/>
    <w:rsid w:val="00CD796D"/>
    <w:rsid w:val="00CF3E02"/>
    <w:rsid w:val="00CF6C46"/>
    <w:rsid w:val="00D02AD8"/>
    <w:rsid w:val="00D069A3"/>
    <w:rsid w:val="00D12999"/>
    <w:rsid w:val="00D2549D"/>
    <w:rsid w:val="00D54C59"/>
    <w:rsid w:val="00D6112D"/>
    <w:rsid w:val="00DC23E4"/>
    <w:rsid w:val="00DD710B"/>
    <w:rsid w:val="00E15E9B"/>
    <w:rsid w:val="00E23257"/>
    <w:rsid w:val="00E2378E"/>
    <w:rsid w:val="00E61007"/>
    <w:rsid w:val="00E934CD"/>
    <w:rsid w:val="00E97982"/>
    <w:rsid w:val="00F03A4B"/>
    <w:rsid w:val="00F068EC"/>
    <w:rsid w:val="00F41AD1"/>
    <w:rsid w:val="00F4712B"/>
    <w:rsid w:val="00F720FE"/>
    <w:rsid w:val="00FB2E9A"/>
    <w:rsid w:val="00FC4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6996"/>
  <w15:chartTrackingRefBased/>
  <w15:docId w15:val="{697FC309-3AEE-4BFF-9A1E-67297CC80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53DE"/>
    <w:rPr>
      <w:strike w:val="0"/>
      <w:dstrike w:val="0"/>
      <w:color w:val="103D80"/>
      <w:u w:val="none"/>
      <w:effect w:val="none"/>
      <w:shd w:val="clear" w:color="auto" w:fill="auto"/>
    </w:rPr>
  </w:style>
  <w:style w:type="paragraph" w:styleId="NormalWeb">
    <w:name w:val="Normal (Web)"/>
    <w:basedOn w:val="Normal"/>
    <w:uiPriority w:val="99"/>
    <w:unhideWhenUsed/>
    <w:rsid w:val="006C522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E934CD"/>
    <w:pPr>
      <w:spacing w:after="200" w:line="276"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94950">
      <w:bodyDiv w:val="1"/>
      <w:marLeft w:val="0"/>
      <w:marRight w:val="0"/>
      <w:marTop w:val="0"/>
      <w:marBottom w:val="0"/>
      <w:divBdr>
        <w:top w:val="none" w:sz="0" w:space="0" w:color="auto"/>
        <w:left w:val="none" w:sz="0" w:space="0" w:color="auto"/>
        <w:bottom w:val="none" w:sz="0" w:space="0" w:color="auto"/>
        <w:right w:val="none" w:sz="0" w:space="0" w:color="auto"/>
      </w:divBdr>
    </w:div>
    <w:div w:id="80807509">
      <w:bodyDiv w:val="1"/>
      <w:marLeft w:val="0"/>
      <w:marRight w:val="0"/>
      <w:marTop w:val="0"/>
      <w:marBottom w:val="0"/>
      <w:divBdr>
        <w:top w:val="none" w:sz="0" w:space="0" w:color="auto"/>
        <w:left w:val="none" w:sz="0" w:space="0" w:color="auto"/>
        <w:bottom w:val="none" w:sz="0" w:space="0" w:color="auto"/>
        <w:right w:val="none" w:sz="0" w:space="0" w:color="auto"/>
      </w:divBdr>
    </w:div>
    <w:div w:id="185676430">
      <w:bodyDiv w:val="1"/>
      <w:marLeft w:val="0"/>
      <w:marRight w:val="0"/>
      <w:marTop w:val="0"/>
      <w:marBottom w:val="0"/>
      <w:divBdr>
        <w:top w:val="none" w:sz="0" w:space="0" w:color="auto"/>
        <w:left w:val="none" w:sz="0" w:space="0" w:color="auto"/>
        <w:bottom w:val="none" w:sz="0" w:space="0" w:color="auto"/>
        <w:right w:val="none" w:sz="0" w:space="0" w:color="auto"/>
      </w:divBdr>
    </w:div>
    <w:div w:id="228855124">
      <w:bodyDiv w:val="1"/>
      <w:marLeft w:val="0"/>
      <w:marRight w:val="0"/>
      <w:marTop w:val="0"/>
      <w:marBottom w:val="0"/>
      <w:divBdr>
        <w:top w:val="none" w:sz="0" w:space="0" w:color="auto"/>
        <w:left w:val="none" w:sz="0" w:space="0" w:color="auto"/>
        <w:bottom w:val="none" w:sz="0" w:space="0" w:color="auto"/>
        <w:right w:val="none" w:sz="0" w:space="0" w:color="auto"/>
      </w:divBdr>
    </w:div>
    <w:div w:id="290668067">
      <w:bodyDiv w:val="1"/>
      <w:marLeft w:val="0"/>
      <w:marRight w:val="0"/>
      <w:marTop w:val="0"/>
      <w:marBottom w:val="0"/>
      <w:divBdr>
        <w:top w:val="none" w:sz="0" w:space="0" w:color="auto"/>
        <w:left w:val="none" w:sz="0" w:space="0" w:color="auto"/>
        <w:bottom w:val="none" w:sz="0" w:space="0" w:color="auto"/>
        <w:right w:val="none" w:sz="0" w:space="0" w:color="auto"/>
      </w:divBdr>
    </w:div>
    <w:div w:id="343636432">
      <w:bodyDiv w:val="1"/>
      <w:marLeft w:val="0"/>
      <w:marRight w:val="0"/>
      <w:marTop w:val="0"/>
      <w:marBottom w:val="0"/>
      <w:divBdr>
        <w:top w:val="none" w:sz="0" w:space="0" w:color="auto"/>
        <w:left w:val="none" w:sz="0" w:space="0" w:color="auto"/>
        <w:bottom w:val="none" w:sz="0" w:space="0" w:color="auto"/>
        <w:right w:val="none" w:sz="0" w:space="0" w:color="auto"/>
      </w:divBdr>
    </w:div>
    <w:div w:id="488905051">
      <w:bodyDiv w:val="1"/>
      <w:marLeft w:val="0"/>
      <w:marRight w:val="0"/>
      <w:marTop w:val="0"/>
      <w:marBottom w:val="0"/>
      <w:divBdr>
        <w:top w:val="none" w:sz="0" w:space="0" w:color="auto"/>
        <w:left w:val="none" w:sz="0" w:space="0" w:color="auto"/>
        <w:bottom w:val="none" w:sz="0" w:space="0" w:color="auto"/>
        <w:right w:val="none" w:sz="0" w:space="0" w:color="auto"/>
      </w:divBdr>
    </w:div>
    <w:div w:id="663238905">
      <w:bodyDiv w:val="1"/>
      <w:marLeft w:val="0"/>
      <w:marRight w:val="0"/>
      <w:marTop w:val="0"/>
      <w:marBottom w:val="0"/>
      <w:divBdr>
        <w:top w:val="none" w:sz="0" w:space="0" w:color="auto"/>
        <w:left w:val="none" w:sz="0" w:space="0" w:color="auto"/>
        <w:bottom w:val="none" w:sz="0" w:space="0" w:color="auto"/>
        <w:right w:val="none" w:sz="0" w:space="0" w:color="auto"/>
      </w:divBdr>
    </w:div>
    <w:div w:id="768623217">
      <w:bodyDiv w:val="1"/>
      <w:marLeft w:val="0"/>
      <w:marRight w:val="0"/>
      <w:marTop w:val="0"/>
      <w:marBottom w:val="0"/>
      <w:divBdr>
        <w:top w:val="none" w:sz="0" w:space="0" w:color="auto"/>
        <w:left w:val="none" w:sz="0" w:space="0" w:color="auto"/>
        <w:bottom w:val="none" w:sz="0" w:space="0" w:color="auto"/>
        <w:right w:val="none" w:sz="0" w:space="0" w:color="auto"/>
      </w:divBdr>
    </w:div>
    <w:div w:id="877665921">
      <w:bodyDiv w:val="1"/>
      <w:marLeft w:val="0"/>
      <w:marRight w:val="0"/>
      <w:marTop w:val="0"/>
      <w:marBottom w:val="0"/>
      <w:divBdr>
        <w:top w:val="none" w:sz="0" w:space="0" w:color="auto"/>
        <w:left w:val="none" w:sz="0" w:space="0" w:color="auto"/>
        <w:bottom w:val="none" w:sz="0" w:space="0" w:color="auto"/>
        <w:right w:val="none" w:sz="0" w:space="0" w:color="auto"/>
      </w:divBdr>
    </w:div>
    <w:div w:id="893198006">
      <w:bodyDiv w:val="1"/>
      <w:marLeft w:val="0"/>
      <w:marRight w:val="0"/>
      <w:marTop w:val="0"/>
      <w:marBottom w:val="0"/>
      <w:divBdr>
        <w:top w:val="none" w:sz="0" w:space="0" w:color="auto"/>
        <w:left w:val="none" w:sz="0" w:space="0" w:color="auto"/>
        <w:bottom w:val="none" w:sz="0" w:space="0" w:color="auto"/>
        <w:right w:val="none" w:sz="0" w:space="0" w:color="auto"/>
      </w:divBdr>
    </w:div>
    <w:div w:id="946355409">
      <w:bodyDiv w:val="1"/>
      <w:marLeft w:val="0"/>
      <w:marRight w:val="0"/>
      <w:marTop w:val="0"/>
      <w:marBottom w:val="0"/>
      <w:divBdr>
        <w:top w:val="none" w:sz="0" w:space="0" w:color="auto"/>
        <w:left w:val="none" w:sz="0" w:space="0" w:color="auto"/>
        <w:bottom w:val="none" w:sz="0" w:space="0" w:color="auto"/>
        <w:right w:val="none" w:sz="0" w:space="0" w:color="auto"/>
      </w:divBdr>
    </w:div>
    <w:div w:id="1076170467">
      <w:bodyDiv w:val="1"/>
      <w:marLeft w:val="0"/>
      <w:marRight w:val="0"/>
      <w:marTop w:val="0"/>
      <w:marBottom w:val="0"/>
      <w:divBdr>
        <w:top w:val="none" w:sz="0" w:space="0" w:color="auto"/>
        <w:left w:val="none" w:sz="0" w:space="0" w:color="auto"/>
        <w:bottom w:val="none" w:sz="0" w:space="0" w:color="auto"/>
        <w:right w:val="none" w:sz="0" w:space="0" w:color="auto"/>
      </w:divBdr>
    </w:div>
    <w:div w:id="1079257715">
      <w:bodyDiv w:val="1"/>
      <w:marLeft w:val="0"/>
      <w:marRight w:val="0"/>
      <w:marTop w:val="0"/>
      <w:marBottom w:val="0"/>
      <w:divBdr>
        <w:top w:val="none" w:sz="0" w:space="0" w:color="auto"/>
        <w:left w:val="none" w:sz="0" w:space="0" w:color="auto"/>
        <w:bottom w:val="none" w:sz="0" w:space="0" w:color="auto"/>
        <w:right w:val="none" w:sz="0" w:space="0" w:color="auto"/>
      </w:divBdr>
    </w:div>
    <w:div w:id="1283924262">
      <w:bodyDiv w:val="1"/>
      <w:marLeft w:val="0"/>
      <w:marRight w:val="0"/>
      <w:marTop w:val="0"/>
      <w:marBottom w:val="0"/>
      <w:divBdr>
        <w:top w:val="none" w:sz="0" w:space="0" w:color="auto"/>
        <w:left w:val="none" w:sz="0" w:space="0" w:color="auto"/>
        <w:bottom w:val="none" w:sz="0" w:space="0" w:color="auto"/>
        <w:right w:val="none" w:sz="0" w:space="0" w:color="auto"/>
      </w:divBdr>
    </w:div>
    <w:div w:id="1300843552">
      <w:bodyDiv w:val="1"/>
      <w:marLeft w:val="0"/>
      <w:marRight w:val="0"/>
      <w:marTop w:val="0"/>
      <w:marBottom w:val="0"/>
      <w:divBdr>
        <w:top w:val="none" w:sz="0" w:space="0" w:color="auto"/>
        <w:left w:val="none" w:sz="0" w:space="0" w:color="auto"/>
        <w:bottom w:val="none" w:sz="0" w:space="0" w:color="auto"/>
        <w:right w:val="none" w:sz="0" w:space="0" w:color="auto"/>
      </w:divBdr>
    </w:div>
    <w:div w:id="1334532062">
      <w:bodyDiv w:val="1"/>
      <w:marLeft w:val="0"/>
      <w:marRight w:val="0"/>
      <w:marTop w:val="0"/>
      <w:marBottom w:val="0"/>
      <w:divBdr>
        <w:top w:val="none" w:sz="0" w:space="0" w:color="auto"/>
        <w:left w:val="none" w:sz="0" w:space="0" w:color="auto"/>
        <w:bottom w:val="none" w:sz="0" w:space="0" w:color="auto"/>
        <w:right w:val="none" w:sz="0" w:space="0" w:color="auto"/>
      </w:divBdr>
    </w:div>
    <w:div w:id="1382554353">
      <w:bodyDiv w:val="1"/>
      <w:marLeft w:val="0"/>
      <w:marRight w:val="0"/>
      <w:marTop w:val="0"/>
      <w:marBottom w:val="0"/>
      <w:divBdr>
        <w:top w:val="none" w:sz="0" w:space="0" w:color="auto"/>
        <w:left w:val="none" w:sz="0" w:space="0" w:color="auto"/>
        <w:bottom w:val="none" w:sz="0" w:space="0" w:color="auto"/>
        <w:right w:val="none" w:sz="0" w:space="0" w:color="auto"/>
      </w:divBdr>
    </w:div>
    <w:div w:id="1412972075">
      <w:bodyDiv w:val="1"/>
      <w:marLeft w:val="0"/>
      <w:marRight w:val="0"/>
      <w:marTop w:val="0"/>
      <w:marBottom w:val="0"/>
      <w:divBdr>
        <w:top w:val="none" w:sz="0" w:space="0" w:color="auto"/>
        <w:left w:val="none" w:sz="0" w:space="0" w:color="auto"/>
        <w:bottom w:val="none" w:sz="0" w:space="0" w:color="auto"/>
        <w:right w:val="none" w:sz="0" w:space="0" w:color="auto"/>
      </w:divBdr>
    </w:div>
    <w:div w:id="1459642174">
      <w:bodyDiv w:val="1"/>
      <w:marLeft w:val="0"/>
      <w:marRight w:val="0"/>
      <w:marTop w:val="0"/>
      <w:marBottom w:val="0"/>
      <w:divBdr>
        <w:top w:val="none" w:sz="0" w:space="0" w:color="auto"/>
        <w:left w:val="none" w:sz="0" w:space="0" w:color="auto"/>
        <w:bottom w:val="none" w:sz="0" w:space="0" w:color="auto"/>
        <w:right w:val="none" w:sz="0" w:space="0" w:color="auto"/>
      </w:divBdr>
    </w:div>
    <w:div w:id="1469591473">
      <w:bodyDiv w:val="1"/>
      <w:marLeft w:val="0"/>
      <w:marRight w:val="0"/>
      <w:marTop w:val="0"/>
      <w:marBottom w:val="0"/>
      <w:divBdr>
        <w:top w:val="none" w:sz="0" w:space="0" w:color="auto"/>
        <w:left w:val="none" w:sz="0" w:space="0" w:color="auto"/>
        <w:bottom w:val="none" w:sz="0" w:space="0" w:color="auto"/>
        <w:right w:val="none" w:sz="0" w:space="0" w:color="auto"/>
      </w:divBdr>
    </w:div>
    <w:div w:id="1599171200">
      <w:bodyDiv w:val="1"/>
      <w:marLeft w:val="0"/>
      <w:marRight w:val="0"/>
      <w:marTop w:val="0"/>
      <w:marBottom w:val="0"/>
      <w:divBdr>
        <w:top w:val="none" w:sz="0" w:space="0" w:color="auto"/>
        <w:left w:val="none" w:sz="0" w:space="0" w:color="auto"/>
        <w:bottom w:val="none" w:sz="0" w:space="0" w:color="auto"/>
        <w:right w:val="none" w:sz="0" w:space="0" w:color="auto"/>
      </w:divBdr>
    </w:div>
    <w:div w:id="1610893386">
      <w:bodyDiv w:val="1"/>
      <w:marLeft w:val="0"/>
      <w:marRight w:val="0"/>
      <w:marTop w:val="0"/>
      <w:marBottom w:val="0"/>
      <w:divBdr>
        <w:top w:val="none" w:sz="0" w:space="0" w:color="auto"/>
        <w:left w:val="none" w:sz="0" w:space="0" w:color="auto"/>
        <w:bottom w:val="none" w:sz="0" w:space="0" w:color="auto"/>
        <w:right w:val="none" w:sz="0" w:space="0" w:color="auto"/>
      </w:divBdr>
    </w:div>
    <w:div w:id="1711763855">
      <w:bodyDiv w:val="1"/>
      <w:marLeft w:val="0"/>
      <w:marRight w:val="0"/>
      <w:marTop w:val="0"/>
      <w:marBottom w:val="0"/>
      <w:divBdr>
        <w:top w:val="none" w:sz="0" w:space="0" w:color="auto"/>
        <w:left w:val="none" w:sz="0" w:space="0" w:color="auto"/>
        <w:bottom w:val="none" w:sz="0" w:space="0" w:color="auto"/>
        <w:right w:val="none" w:sz="0" w:space="0" w:color="auto"/>
      </w:divBdr>
    </w:div>
    <w:div w:id="2032799020">
      <w:bodyDiv w:val="1"/>
      <w:marLeft w:val="0"/>
      <w:marRight w:val="0"/>
      <w:marTop w:val="0"/>
      <w:marBottom w:val="0"/>
      <w:divBdr>
        <w:top w:val="none" w:sz="0" w:space="0" w:color="auto"/>
        <w:left w:val="none" w:sz="0" w:space="0" w:color="auto"/>
        <w:bottom w:val="none" w:sz="0" w:space="0" w:color="auto"/>
        <w:right w:val="none" w:sz="0" w:space="0" w:color="auto"/>
      </w:divBdr>
    </w:div>
    <w:div w:id="211755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simoncelli@columnhealth.com" TargetMode="External"/><Relationship Id="rId13" Type="http://schemas.openxmlformats.org/officeDocument/2006/relationships/hyperlink" Target="mailto:Karin.robinson@mccallcenter.org" TargetMode="External"/><Relationship Id="rId18" Type="http://schemas.openxmlformats.org/officeDocument/2006/relationships/hyperlink" Target="mailto:Marc.Trivella@ct.gov" TargetMode="External"/><Relationship Id="rId26" Type="http://schemas.openxmlformats.org/officeDocument/2006/relationships/hyperlink" Target="https://pcssnow.org/?s=COVID" TargetMode="External"/><Relationship Id="rId3" Type="http://schemas.openxmlformats.org/officeDocument/2006/relationships/settings" Target="settings.xml"/><Relationship Id="rId21" Type="http://schemas.openxmlformats.org/officeDocument/2006/relationships/hyperlink" Target="https://www.ctbhp.com/medication-assisted-treatment.html" TargetMode="External"/><Relationship Id="rId34" Type="http://schemas.openxmlformats.org/officeDocument/2006/relationships/theme" Target="theme/theme1.xml"/><Relationship Id="rId7" Type="http://schemas.openxmlformats.org/officeDocument/2006/relationships/hyperlink" Target="mailto:Ralph.Baker@hhchealth.org" TargetMode="External"/><Relationship Id="rId12" Type="http://schemas.openxmlformats.org/officeDocument/2006/relationships/hyperlink" Target="mailto:ebwilson@mccaonline.com" TargetMode="External"/><Relationship Id="rId17" Type="http://schemas.openxmlformats.org/officeDocument/2006/relationships/hyperlink" Target="mailto:Louis.Hurwitz@rootcenter.org" TargetMode="External"/><Relationship Id="rId25" Type="http://schemas.openxmlformats.org/officeDocument/2006/relationships/hyperlink" Target="https://portal.ct.gov/DPH/Health-Education-Management--Surveillance/The-Office-of-Injury-Prevention/Overdose-Education-and-Naloxone-Distribution-Progra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nnemarie.lucas@rootcenter.org" TargetMode="External"/><Relationship Id="rId20" Type="http://schemas.openxmlformats.org/officeDocument/2006/relationships/hyperlink" Target="https://public.tableau.com/views/CTBHPMedicaidMATProviderMap/TreatmentProviders?:embed=y&amp;:display_count=yes&amp;:showVizHome=no" TargetMode="External"/><Relationship Id="rId29" Type="http://schemas.openxmlformats.org/officeDocument/2006/relationships/hyperlink" Target="https://pcssnow.org/resource/grief-and-overdose-death-2/" TargetMode="External"/><Relationship Id="rId1" Type="http://schemas.openxmlformats.org/officeDocument/2006/relationships/numbering" Target="numbering.xml"/><Relationship Id="rId6" Type="http://schemas.openxmlformats.org/officeDocument/2006/relationships/hyperlink" Target="mailto:Alyssa.Meehan@hhchealth.org" TargetMode="External"/><Relationship Id="rId11" Type="http://schemas.openxmlformats.org/officeDocument/2006/relationships/hyperlink" Target="mailto:kdlugozima@cnvhelp.org" TargetMode="External"/><Relationship Id="rId24" Type="http://schemas.openxmlformats.org/officeDocument/2006/relationships/hyperlink" Target="https://liveloud.org/" TargetMode="External"/><Relationship Id="rId32" Type="http://schemas.openxmlformats.org/officeDocument/2006/relationships/hyperlink" Target="https://pcssnow.org/education-training/training-courses/9stress-relaxation-mindful-breathing-primer/Checklist" TargetMode="External"/><Relationship Id="rId5" Type="http://schemas.openxmlformats.org/officeDocument/2006/relationships/hyperlink" Target="mailto:jreid@apexcc.org" TargetMode="External"/><Relationship Id="rId15" Type="http://schemas.openxmlformats.org/officeDocument/2006/relationships/hyperlink" Target="mailto:dana.bridges@rootcenter.org" TargetMode="External"/><Relationship Id="rId23" Type="http://schemas.openxmlformats.org/officeDocument/2006/relationships/hyperlink" Target="https://www.ctaddictionservices.com" TargetMode="External"/><Relationship Id="rId28" Type="http://schemas.openxmlformats.org/officeDocument/2006/relationships/hyperlink" Target="https://pcssnow.org/event/grief-and-managing-an-overdose-death/" TargetMode="External"/><Relationship Id="rId10" Type="http://schemas.openxmlformats.org/officeDocument/2006/relationships/hyperlink" Target="mailto:mbenjamin@cjryouth.org" TargetMode="External"/><Relationship Id="rId19" Type="http://schemas.openxmlformats.org/officeDocument/2006/relationships/hyperlink" Target="https://portal.ct.gov/DMHAS/Programs-and-Services/Opioid-Treatment/Medication-Assisted-Treatment" TargetMode="External"/><Relationship Id="rId31" Type="http://schemas.openxmlformats.org/officeDocument/2006/relationships/hyperlink" Target="https://pcssnow.org/event/partnering-with-pharmacists-naloxone-prescribing-and-dispensing-to-preventoverdose-deaths-aoaam/" TargetMode="External"/><Relationship Id="rId4" Type="http://schemas.openxmlformats.org/officeDocument/2006/relationships/webSettings" Target="webSettings.xml"/><Relationship Id="rId9" Type="http://schemas.openxmlformats.org/officeDocument/2006/relationships/hyperlink" Target="mailto:jkersten@chwctorr.org" TargetMode="External"/><Relationship Id="rId14" Type="http://schemas.openxmlformats.org/officeDocument/2006/relationships/hyperlink" Target="mailto:dr.pamela.cipriano@gmail.com" TargetMode="External"/><Relationship Id="rId22" Type="http://schemas.openxmlformats.org/officeDocument/2006/relationships/hyperlink" Target="https://www.ctaddictionservices.com/" TargetMode="External"/><Relationship Id="rId27" Type="http://schemas.openxmlformats.org/officeDocument/2006/relationships/hyperlink" Target="https://learning.pcssnow.org/p/SupportingProviders" TargetMode="External"/><Relationship Id="rId30" Type="http://schemas.openxmlformats.org/officeDocument/2006/relationships/hyperlink" Target="https://pcssnow.org/education-training/trainingcourses/teenager-seeking-treatment-after-overdosing-par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5299</TotalTime>
  <Pages>5</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Beacon Health Options</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Gregory</dc:creator>
  <cp:keywords/>
  <dc:description/>
  <cp:lastModifiedBy>Simpson, Gregory</cp:lastModifiedBy>
  <cp:revision>89</cp:revision>
  <dcterms:created xsi:type="dcterms:W3CDTF">2020-10-26T13:04:00Z</dcterms:created>
  <dcterms:modified xsi:type="dcterms:W3CDTF">2020-11-16T14:53:00Z</dcterms:modified>
</cp:coreProperties>
</file>